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14F0F3C3" w:rsidR="0098363D" w:rsidRDefault="00FF447F" w:rsidP="0098363D">
      <w:pPr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9212C1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Press </w:t>
      </w:r>
      <w:proofErr w:type="spellStart"/>
      <w:r w:rsidR="009212C1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release</w:t>
      </w:r>
      <w:proofErr w:type="spellEnd"/>
    </w:p>
    <w:p w14:paraId="1DD8CA7C" w14:textId="6D5CE978" w:rsidR="002E3000" w:rsidRDefault="002E3000" w:rsidP="0098363D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Zielona Góra</w:t>
      </w:r>
      <w:r w:rsidR="00FF28EB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9212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August </w:t>
      </w:r>
      <w:r w:rsidR="00FD7D65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9212C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2B1B76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2B1B76" w:rsidRPr="000F2BC7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70863E9F" w14:textId="77777777" w:rsidR="0098363D" w:rsidRPr="0098363D" w:rsidRDefault="0098363D" w:rsidP="0098363D">
      <w:pPr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80F47" w14:textId="77777777" w:rsidR="00AB592D" w:rsidRPr="003E64AD" w:rsidRDefault="00AB592D" w:rsidP="00393C2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AED9A0" w14:textId="664E1C9B" w:rsidR="00AB592D" w:rsidRPr="003E64AD" w:rsidRDefault="009212C1" w:rsidP="00393C2F">
      <w:pPr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Estimated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data of LUG S.A. Capital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Group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of</w:t>
      </w:r>
      <w:r w:rsidR="00AB592D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FD7D65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II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of</w:t>
      </w:r>
      <w:r w:rsidR="00FD7D65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B592D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202</w:t>
      </w:r>
      <w:r w:rsidR="00FD7D65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2</w:t>
      </w:r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14:paraId="7BBF75DE" w14:textId="459BEB9E" w:rsidR="00FD7D65" w:rsidRPr="003E64AD" w:rsidRDefault="009212C1" w:rsidP="009212C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LUG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closes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second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of the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year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with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an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almost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30%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increase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in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sales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, but a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lower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margin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related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to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production</w:t>
      </w:r>
      <w:proofErr w:type="spellEnd"/>
      <w:r w:rsidRPr="009212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b/>
          <w:bCs/>
          <w:sz w:val="20"/>
          <w:szCs w:val="20"/>
        </w:rPr>
        <w:t>costs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B19B0CB" w14:textId="77777777" w:rsidR="00FD7D65" w:rsidRPr="003E64AD" w:rsidRDefault="00FD7D65" w:rsidP="00393C2F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1B8BC74" w14:textId="67DF72E2" w:rsidR="0098363D" w:rsidRPr="0098363D" w:rsidRDefault="009212C1" w:rsidP="00393C2F">
      <w:pPr>
        <w:pStyle w:val="Akapitzlist"/>
        <w:numPr>
          <w:ilvl w:val="0"/>
          <w:numId w:val="24"/>
        </w:numPr>
        <w:spacing w:before="8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PLN 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59,74 mln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of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revenues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on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sales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the </w:t>
      </w:r>
      <w:r w:rsidR="00FD7D65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II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of</w:t>
      </w:r>
      <w:r w:rsidR="00FD7D65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3A5F5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D7D65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(+26,1% </w:t>
      </w:r>
      <w:r>
        <w:rPr>
          <w:rFonts w:asciiTheme="minorHAnsi" w:hAnsiTheme="minorHAnsi" w:cstheme="minorHAnsi"/>
          <w:b/>
          <w:bCs/>
          <w:sz w:val="20"/>
          <w:szCs w:val="20"/>
        </w:rPr>
        <w:t>y/y</w:t>
      </w:r>
      <w:r w:rsidR="00FD7D65" w:rsidRPr="003E64A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</w:p>
    <w:p w14:paraId="58845B94" w14:textId="5503E16B" w:rsidR="00FD7D65" w:rsidRPr="003E64AD" w:rsidRDefault="009212C1" w:rsidP="00393C2F">
      <w:pPr>
        <w:pStyle w:val="Akapitzlist"/>
        <w:numPr>
          <w:ilvl w:val="0"/>
          <w:numId w:val="24"/>
        </w:numPr>
        <w:spacing w:before="8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PLN 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23,18 mln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of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gross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profit on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sales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the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II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quarter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of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increase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by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12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,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6</w:t>
      </w:r>
      <w:r w:rsidR="00FD7D65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%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y/y.</w:t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98363D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Cumulatively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for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six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months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of 2022 the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gross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profit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amounted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PLN</w:t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44,39 mln (+ 23,1%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B85998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.</w:t>
      </w:r>
    </w:p>
    <w:p w14:paraId="0D8771CE" w14:textId="7F577654" w:rsidR="00B94D8D" w:rsidRPr="003E64AD" w:rsidRDefault="009212C1" w:rsidP="009212C1">
      <w:pPr>
        <w:pStyle w:val="Akapitzlist"/>
        <w:numPr>
          <w:ilvl w:val="0"/>
          <w:numId w:val="24"/>
        </w:numPr>
        <w:spacing w:before="80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Net profit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amounted</w:t>
      </w:r>
      <w:proofErr w:type="spellEnd"/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PLN 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849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thousand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the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II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quarter</w:t>
      </w:r>
      <w:proofErr w:type="spellEnd"/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(+8,4%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and PLN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1,69 mln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for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6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months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of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 (+9,0%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3A5F5E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  <w:r w:rsidR="00B94D8D"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458C2F48" w14:textId="34A93A2D" w:rsidR="00FD7D65" w:rsidRPr="009212C1" w:rsidRDefault="00B94D8D" w:rsidP="009212C1">
      <w:pPr>
        <w:numPr>
          <w:ilvl w:val="0"/>
          <w:numId w:val="7"/>
        </w:numPr>
        <w:spacing w:after="20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EBITDA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margin</w:t>
      </w:r>
      <w:proofErr w:type="spellEnd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amounted</w:t>
      </w:r>
      <w:proofErr w:type="spellEnd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the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II </w:t>
      </w:r>
      <w:proofErr w:type="spellStart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quarter</w:t>
      </w:r>
      <w:proofErr w:type="spellEnd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of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2022 9,1% 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>(-</w:t>
      </w:r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1,9 </w:t>
      </w:r>
      <w:proofErr w:type="spellStart"/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>p.p</w:t>
      </w:r>
      <w:proofErr w:type="spellEnd"/>
      <w:r w:rsidRPr="003E64AD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) 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and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8,9% 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in the 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I 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half-</w:t>
      </w:r>
      <w:r w:rsidR="00543010">
        <w:rPr>
          <w:rFonts w:asciiTheme="minorHAnsi" w:eastAsiaTheme="minorEastAsia" w:hAnsiTheme="minorHAnsi" w:cstheme="minorHAnsi"/>
          <w:b/>
          <w:bCs/>
          <w:sz w:val="20"/>
          <w:szCs w:val="20"/>
        </w:rPr>
        <w:t>a-</w:t>
      </w:r>
      <w:proofErr w:type="spellStart"/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year</w:t>
      </w:r>
      <w:proofErr w:type="spellEnd"/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(-1,0 </w:t>
      </w:r>
      <w:proofErr w:type="spellStart"/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>p.p</w:t>
      </w:r>
      <w:proofErr w:type="spellEnd"/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="009212C1"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1E03F6">
        <w:rPr>
          <w:rFonts w:asciiTheme="minorHAnsi" w:eastAsiaTheme="minorEastAsia" w:hAnsiTheme="minorHAnsi" w:cstheme="minorHAnsi"/>
          <w:b/>
          <w:bCs/>
          <w:sz w:val="20"/>
          <w:szCs w:val="20"/>
        </w:rPr>
        <w:t>).</w:t>
      </w:r>
    </w:p>
    <w:p w14:paraId="6801F070" w14:textId="77777777" w:rsidR="009212C1" w:rsidRPr="003E64AD" w:rsidRDefault="009212C1" w:rsidP="009212C1">
      <w:pPr>
        <w:spacing w:after="200"/>
        <w:ind w:left="72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792504" w14:textId="568613F2" w:rsidR="009212C1" w:rsidRPr="009212C1" w:rsidRDefault="009212C1" w:rsidP="009212C1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LUG S.A. Capital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Group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published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consolidated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results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for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second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quarter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of 2022.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Group's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revenue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54301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in Q2 2022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amounted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59.74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.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This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result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26.1%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higher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than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last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year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. In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incremental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terms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54301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for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first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half of 2022,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sales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reached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PLN 116.71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compared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84.92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for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two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quarters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54301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of 2021</w:t>
      </w:r>
      <w:r w:rsidR="0054301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(+37.4% y/y). Gross profit on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sales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amounted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23.18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in Q2 2022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alone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,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compared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to PLN 20.58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in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corresponding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period of 2021 (+12.6% y/y).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profitability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of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organization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and the pace of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contract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execution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are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still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affected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by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situation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related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availability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of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electronic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components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and the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dynamically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growing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production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costs</w:t>
      </w:r>
      <w:proofErr w:type="spellEnd"/>
      <w:r w:rsidRPr="009212C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.</w:t>
      </w:r>
    </w:p>
    <w:p w14:paraId="2DFEC60F" w14:textId="6C8DD9F3" w:rsidR="00FD7D65" w:rsidRPr="003E64AD" w:rsidRDefault="00FD7D65" w:rsidP="00393C2F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6EF1BFC6" w14:textId="3DB62538" w:rsidR="00393C2F" w:rsidRPr="003E64AD" w:rsidRDefault="009212C1" w:rsidP="009212C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There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still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limitations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related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to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availability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electronics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on the market.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result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generated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possible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due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to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fact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last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we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secured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certain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amount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components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needed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fulfill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the high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orders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. In 2022,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structure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revenues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also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includes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revenues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generated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as part </w:t>
      </w:r>
      <w:r>
        <w:rPr>
          <w:rFonts w:asciiTheme="minorHAnsi" w:hAnsiTheme="minorHAnsi" w:cstheme="minorHAnsi"/>
          <w:sz w:val="20"/>
          <w:szCs w:val="20"/>
        </w:rPr>
        <w:br/>
      </w:r>
      <w:r w:rsidRPr="009212C1">
        <w:rPr>
          <w:rFonts w:asciiTheme="minorHAnsi" w:hAnsiTheme="minorHAnsi" w:cstheme="minorHAnsi"/>
          <w:sz w:val="20"/>
          <w:szCs w:val="20"/>
        </w:rPr>
        <w:t xml:space="preserve">of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modernization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for the Capital City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Warsaw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9212C1">
        <w:rPr>
          <w:rFonts w:asciiTheme="minorHAnsi" w:hAnsiTheme="minorHAnsi" w:cstheme="minorHAnsi"/>
          <w:sz w:val="20"/>
          <w:szCs w:val="20"/>
        </w:rPr>
        <w:t xml:space="preserve">to PLN 4.3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, and 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entire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half of 2022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reached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PLN 5.6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="00E9541B" w:rsidRPr="003E64AD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comments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theme="minorHAnsi"/>
          <w:sz w:val="20"/>
          <w:szCs w:val="20"/>
        </w:rPr>
        <w:t>results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02520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Ryszard Wtorkowski, </w:t>
      </w:r>
      <w:r>
        <w:rPr>
          <w:rFonts w:asciiTheme="minorHAnsi" w:hAnsiTheme="minorHAnsi" w:cstheme="minorHAnsi"/>
          <w:b/>
          <w:bCs/>
          <w:sz w:val="20"/>
          <w:szCs w:val="20"/>
        </w:rPr>
        <w:t>CEO of the Management Board of</w:t>
      </w:r>
      <w:r w:rsidR="00C02520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LUG S.A.</w:t>
      </w:r>
    </w:p>
    <w:p w14:paraId="6F266580" w14:textId="4B56FB6D" w:rsidR="00FD7D65" w:rsidRPr="003E64AD" w:rsidRDefault="00FD7D65" w:rsidP="00393C2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1F6430" w14:textId="428306ED" w:rsidR="00B85998" w:rsidRPr="003E64AD" w:rsidRDefault="009212C1" w:rsidP="00393C2F">
      <w:pPr>
        <w:jc w:val="both"/>
        <w:rPr>
          <w:rFonts w:asciiTheme="minorHAnsi" w:hAnsiTheme="minorHAnsi" w:cstheme="minorHAnsi"/>
          <w:sz w:val="20"/>
          <w:szCs w:val="20"/>
        </w:rPr>
      </w:pPr>
      <w:r w:rsidRPr="009212C1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gross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margin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sales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analyzed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period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reached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38.8% (-4.6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. y/y), and 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six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months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2022 </w:t>
      </w:r>
      <w:r w:rsidR="00543010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to 38% and was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lower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by 4.5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>. y/y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043D865" w14:textId="77777777" w:rsidR="00B85998" w:rsidRPr="003E64AD" w:rsidRDefault="00B85998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A036B" w14:textId="3FADB855" w:rsidR="00B85998" w:rsidRPr="003E64AD" w:rsidRDefault="009212C1" w:rsidP="00E246F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Despite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declines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commodity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prices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observed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lower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profitability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r w:rsidR="00543010">
        <w:rPr>
          <w:rFonts w:asciiTheme="minorHAnsi" w:hAnsiTheme="minorHAnsi" w:cstheme="minorHAnsi"/>
          <w:sz w:val="20"/>
          <w:szCs w:val="20"/>
        </w:rPr>
        <w:br/>
      </w:r>
      <w:r w:rsidRPr="009212C1">
        <w:rPr>
          <w:rFonts w:asciiTheme="minorHAnsi" w:hAnsiTheme="minorHAnsi" w:cstheme="minorHAnsi"/>
          <w:sz w:val="20"/>
          <w:szCs w:val="20"/>
        </w:rPr>
        <w:t xml:space="preserve">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2C1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="00543010">
        <w:rPr>
          <w:rFonts w:asciiTheme="minorHAnsi" w:hAnsiTheme="minorHAnsi" w:cstheme="minorHAnsi"/>
          <w:sz w:val="20"/>
          <w:szCs w:val="20"/>
        </w:rPr>
        <w:t>,</w:t>
      </w:r>
      <w:r w:rsidRPr="009212C1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related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to the performance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deliveries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contracted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during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the period </w:t>
      </w:r>
      <w:r w:rsidR="00543010">
        <w:rPr>
          <w:rFonts w:asciiTheme="minorHAnsi" w:hAnsiTheme="minorHAnsi" w:cstheme="minorHAnsi"/>
          <w:sz w:val="20"/>
          <w:szCs w:val="20"/>
        </w:rPr>
        <w:br/>
      </w:r>
      <w:r w:rsidRPr="009212C1">
        <w:rPr>
          <w:rFonts w:asciiTheme="minorHAnsi" w:hAnsiTheme="minorHAnsi" w:cstheme="minorHAnsi"/>
          <w:sz w:val="20"/>
          <w:szCs w:val="20"/>
        </w:rPr>
        <w:t xml:space="preserve">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dynamically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growing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prices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both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components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and transport, 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well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resulting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from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increasingly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gas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world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, 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well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as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increasingly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labor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. We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currently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implementing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minimize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effect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inflation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rising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prices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positive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impact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margins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However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, we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bear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mind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signed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contacts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good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relations with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clients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Assuming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continuation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downward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trends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commodities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market</w:t>
      </w:r>
      <w:r w:rsidR="00543010">
        <w:rPr>
          <w:rFonts w:asciiTheme="minorHAnsi" w:hAnsiTheme="minorHAnsi" w:cstheme="minorHAnsi"/>
          <w:sz w:val="20"/>
          <w:szCs w:val="20"/>
        </w:rPr>
        <w:t xml:space="preserve"> </w:t>
      </w:r>
      <w:r w:rsidRPr="009212C1">
        <w:rPr>
          <w:rFonts w:asciiTheme="minorHAnsi" w:hAnsiTheme="minorHAnsi" w:cstheme="minorHAnsi"/>
          <w:sz w:val="20"/>
          <w:szCs w:val="20"/>
        </w:rPr>
        <w:t xml:space="preserve">and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components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, the LUG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Group's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profitability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may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improve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turn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the third and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fourth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quarters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212C1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9212C1">
        <w:rPr>
          <w:rFonts w:asciiTheme="minorHAnsi" w:hAnsiTheme="minorHAnsi" w:cstheme="minorHAnsi"/>
          <w:sz w:val="20"/>
          <w:szCs w:val="20"/>
        </w:rPr>
        <w:t>.</w:t>
      </w:r>
      <w:r w:rsidR="00543010">
        <w:rPr>
          <w:rFonts w:asciiTheme="minorHAnsi" w:hAnsiTheme="minorHAnsi" w:cstheme="minorHAnsi"/>
          <w:sz w:val="20"/>
          <w:szCs w:val="20"/>
        </w:rPr>
        <w:t xml:space="preserve"> </w:t>
      </w:r>
      <w:r w:rsidR="00B85998" w:rsidRPr="003E64AD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543010">
        <w:rPr>
          <w:rFonts w:asciiTheme="minorHAnsi" w:hAnsiTheme="minorHAnsi" w:cstheme="minorHAnsi"/>
          <w:b/>
          <w:bCs/>
          <w:sz w:val="20"/>
          <w:szCs w:val="20"/>
        </w:rPr>
        <w:t>adds</w:t>
      </w:r>
      <w:proofErr w:type="spellEnd"/>
      <w:r w:rsidR="00B85998" w:rsidRPr="003E64AD">
        <w:rPr>
          <w:rFonts w:asciiTheme="minorHAnsi" w:hAnsiTheme="minorHAnsi" w:cstheme="minorHAnsi"/>
          <w:b/>
          <w:bCs/>
          <w:sz w:val="20"/>
          <w:szCs w:val="20"/>
        </w:rPr>
        <w:t xml:space="preserve"> Ryszard Wtorkowski.</w:t>
      </w:r>
    </w:p>
    <w:p w14:paraId="35C769B0" w14:textId="77777777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122A0B" w14:textId="6414976A" w:rsidR="00543010" w:rsidRPr="00543010" w:rsidRDefault="00543010" w:rsidP="00543010">
      <w:pPr>
        <w:jc w:val="both"/>
        <w:rPr>
          <w:rFonts w:asciiTheme="minorHAnsi" w:hAnsiTheme="minorHAnsi" w:cstheme="minorHAnsi"/>
          <w:sz w:val="20"/>
          <w:szCs w:val="20"/>
        </w:rPr>
      </w:pPr>
      <w:r w:rsidRPr="00543010">
        <w:rPr>
          <w:rFonts w:asciiTheme="minorHAnsi" w:hAnsiTheme="minorHAnsi" w:cstheme="minorHAnsi"/>
          <w:sz w:val="20"/>
          <w:szCs w:val="20"/>
        </w:rPr>
        <w:t xml:space="preserve">The EBITDA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margin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in Q2 2022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9.1% and was 1.9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lower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y/y.</w:t>
      </w:r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Cumulative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EBITDA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result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3010">
        <w:rPr>
          <w:rFonts w:asciiTheme="minorHAnsi" w:hAnsiTheme="minorHAnsi" w:cstheme="minorHAnsi"/>
          <w:sz w:val="20"/>
          <w:szCs w:val="20"/>
        </w:rPr>
        <w:t xml:space="preserve">for 6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months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of 2022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PLN 10.4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and was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by 24.2%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corresponding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period of 2021,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PLN 8.37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. The EBITDA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margin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for </w:t>
      </w:r>
      <w:proofErr w:type="spellStart"/>
      <w:r>
        <w:rPr>
          <w:rFonts w:asciiTheme="minorHAnsi" w:hAnsiTheme="minorHAnsi" w:cstheme="minorHAnsi"/>
          <w:sz w:val="20"/>
          <w:szCs w:val="20"/>
        </w:rPr>
        <w:t>first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half-a-</w:t>
      </w:r>
      <w:proofErr w:type="spellStart"/>
      <w:r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8.9% vs. 9.9% </w:t>
      </w:r>
      <w:r>
        <w:rPr>
          <w:rFonts w:asciiTheme="minorHAnsi" w:hAnsiTheme="minorHAnsi" w:cstheme="minorHAnsi"/>
          <w:sz w:val="20"/>
          <w:szCs w:val="20"/>
        </w:rPr>
        <w:br/>
      </w:r>
      <w:r w:rsidRPr="00543010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before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(-1.0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>. y/y).</w:t>
      </w:r>
    </w:p>
    <w:p w14:paraId="3E2E4F1E" w14:textId="19E3EE6C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4DE2C" w14:textId="77777777" w:rsidR="00341305" w:rsidRPr="003E64AD" w:rsidRDefault="00341305" w:rsidP="00393C2F">
      <w:pPr>
        <w:jc w:val="both"/>
        <w:rPr>
          <w:rFonts w:asciiTheme="minorHAnsi" w:eastAsia="Calibri" w:hAnsiTheme="minorHAnsi" w:cstheme="minorHAnsi"/>
          <w:color w:val="FF0000"/>
          <w:sz w:val="20"/>
          <w:szCs w:val="20"/>
        </w:rPr>
      </w:pPr>
    </w:p>
    <w:p w14:paraId="71CC2795" w14:textId="77777777" w:rsidR="00543010" w:rsidRDefault="00543010" w:rsidP="005430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65C9B8" w14:textId="17057489" w:rsidR="00543010" w:rsidRDefault="00543010" w:rsidP="00543010">
      <w:pPr>
        <w:jc w:val="both"/>
        <w:rPr>
          <w:rFonts w:asciiTheme="minorHAnsi" w:hAnsiTheme="minorHAnsi" w:cstheme="minorHAnsi"/>
          <w:sz w:val="20"/>
          <w:szCs w:val="20"/>
        </w:rPr>
      </w:pPr>
      <w:r w:rsidRPr="00543010">
        <w:rPr>
          <w:rFonts w:asciiTheme="minorHAnsi" w:hAnsiTheme="minorHAnsi" w:cstheme="minorHAnsi"/>
          <w:sz w:val="20"/>
          <w:szCs w:val="20"/>
        </w:rPr>
        <w:lastRenderedPageBreak/>
        <w:t xml:space="preserve">Net profit in the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half of 2022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PLN 1.69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compared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PLN 1.55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half </w:t>
      </w:r>
      <w:r>
        <w:rPr>
          <w:rFonts w:asciiTheme="minorHAnsi" w:hAnsiTheme="minorHAnsi" w:cstheme="minorHAnsi"/>
          <w:sz w:val="20"/>
          <w:szCs w:val="20"/>
        </w:rPr>
        <w:br/>
      </w:r>
      <w:r w:rsidRPr="00543010">
        <w:rPr>
          <w:rFonts w:asciiTheme="minorHAnsi" w:hAnsiTheme="minorHAnsi" w:cstheme="minorHAnsi"/>
          <w:sz w:val="20"/>
          <w:szCs w:val="20"/>
        </w:rPr>
        <w:t>of 2021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3010">
        <w:rPr>
          <w:rFonts w:asciiTheme="minorHAnsi" w:hAnsiTheme="minorHAnsi" w:cstheme="minorHAnsi"/>
          <w:sz w:val="20"/>
          <w:szCs w:val="20"/>
        </w:rPr>
        <w:t xml:space="preserve">(+9.0% y/y),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while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in Q2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alone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net profit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to PLN 849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thousand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against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PLN 783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thousand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earlier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3010">
        <w:rPr>
          <w:rFonts w:asciiTheme="minorHAnsi" w:hAnsiTheme="minorHAnsi" w:cstheme="minorHAnsi"/>
          <w:sz w:val="20"/>
          <w:szCs w:val="20"/>
        </w:rPr>
        <w:t>(+8.4% y/y).</w:t>
      </w:r>
    </w:p>
    <w:p w14:paraId="05A780DC" w14:textId="77777777" w:rsidR="00543010" w:rsidRDefault="00543010" w:rsidP="005430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7F8014" w14:textId="4573D8CA" w:rsidR="00FD7D65" w:rsidRPr="003E64AD" w:rsidRDefault="00543010" w:rsidP="00543010">
      <w:pPr>
        <w:jc w:val="both"/>
        <w:rPr>
          <w:rFonts w:asciiTheme="minorHAnsi" w:hAnsiTheme="minorHAnsi" w:cstheme="minorHAnsi"/>
          <w:sz w:val="20"/>
          <w:szCs w:val="20"/>
        </w:rPr>
      </w:pPr>
      <w:r w:rsidRPr="00543010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final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values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​​of the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financial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data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presented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report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published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3010">
        <w:rPr>
          <w:rFonts w:asciiTheme="minorHAnsi" w:hAnsiTheme="minorHAnsi" w:cstheme="minorHAnsi"/>
          <w:sz w:val="20"/>
          <w:szCs w:val="20"/>
        </w:rPr>
        <w:t xml:space="preserve">on August 11, 2022, in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periodic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report for the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43010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543010">
        <w:rPr>
          <w:rFonts w:asciiTheme="minorHAnsi" w:hAnsiTheme="minorHAnsi" w:cstheme="minorHAnsi"/>
          <w:sz w:val="20"/>
          <w:szCs w:val="20"/>
        </w:rPr>
        <w:t>.</w:t>
      </w:r>
    </w:p>
    <w:p w14:paraId="00F1C2AD" w14:textId="77777777" w:rsidR="00FD7D65" w:rsidRPr="003E64AD" w:rsidRDefault="00FD7D65" w:rsidP="00393C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F1C4DD" w14:textId="2FEC4D64" w:rsidR="00B63593" w:rsidRPr="003E64AD" w:rsidRDefault="00B63593" w:rsidP="00393C2F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14:paraId="051A4B73" w14:textId="77777777" w:rsidR="00B63593" w:rsidRPr="003E64AD" w:rsidRDefault="00B63593" w:rsidP="00393C2F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CCD2350" w14:textId="4F7B7842" w:rsidR="00B63593" w:rsidRPr="0098363D" w:rsidRDefault="00543010" w:rsidP="00393C2F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4301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LUG S.A.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is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 holding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company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the LUG S.A. Capital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– one of the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leading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European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manufacturers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professional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solutions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The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sells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its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products in Poland and in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dozens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countries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around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world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The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company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with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over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30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years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experience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based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 Zielona Góra,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has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been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operating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as a Capital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since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2008.</w:t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It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consists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of: LUG S.A.,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LUG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Light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Factory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Sp. z o.o., LUG GmbH, LUG do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Brasil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Ltda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LUG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UK Ltd.,</w:t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TOW LUG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Ukraine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BIOT Sp. z o.o.,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LUG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Argentina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SA, LUG Turkey, LUG Services Sp. z o.o., ESCOLIGHT Sp. z o. o. LUG S.A.</w:t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since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November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2007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it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has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been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listed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on the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NewConnect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market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managed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by the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Warsaw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Stock Exchange.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More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information</w:t>
      </w:r>
      <w:proofErr w:type="spellEnd"/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Pr="0054301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hyperlink r:id="rId7" w:history="1">
        <w:r w:rsidR="00B63593" w:rsidRPr="0098363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www.lug.com.pl</w:t>
        </w:r>
      </w:hyperlink>
    </w:p>
    <w:p w14:paraId="44D0982B" w14:textId="7777777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16A76E0" w14:textId="7777777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C5F2D44" w14:textId="098229D0" w:rsidR="00B63593" w:rsidRPr="003E64AD" w:rsidRDefault="00543010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Contact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for media</w:t>
      </w:r>
      <w:r w:rsidR="00B63593" w:rsidRPr="003E64A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:</w:t>
      </w:r>
    </w:p>
    <w:p w14:paraId="7A578A50" w14:textId="77777777" w:rsidR="00543010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Monika Bartoszak, </w:t>
      </w:r>
      <w:proofErr w:type="spellStart"/>
      <w:r w:rsidR="00543010" w:rsidRPr="00543010">
        <w:rPr>
          <w:rFonts w:asciiTheme="minorHAnsi" w:hAnsiTheme="minorHAnsi" w:cstheme="minorHAnsi"/>
          <w:color w:val="000000" w:themeColor="text1"/>
          <w:sz w:val="20"/>
          <w:szCs w:val="20"/>
        </w:rPr>
        <w:t>Director</w:t>
      </w:r>
      <w:proofErr w:type="spellEnd"/>
      <w:r w:rsidR="00543010" w:rsidRPr="005430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the Management Board and </w:t>
      </w:r>
      <w:proofErr w:type="spellStart"/>
      <w:r w:rsidR="00543010" w:rsidRPr="00543010">
        <w:rPr>
          <w:rFonts w:asciiTheme="minorHAnsi" w:hAnsiTheme="minorHAnsi" w:cstheme="minorHAnsi"/>
          <w:color w:val="000000" w:themeColor="text1"/>
          <w:sz w:val="20"/>
          <w:szCs w:val="20"/>
        </w:rPr>
        <w:t>Communiaction</w:t>
      </w:r>
      <w:proofErr w:type="spellEnd"/>
      <w:r w:rsidR="00543010" w:rsidRPr="0054301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Office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1C235AD8" w14:textId="519FCBBA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tel. +48 510 183 993, e-mail: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hyperlink r:id="rId8" w:history="1">
        <w:r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monika.bartoszak@lug.com.pl</w:t>
        </w:r>
      </w:hyperlink>
    </w:p>
    <w:p w14:paraId="1360C60C" w14:textId="3DC92A97" w:rsidR="00B63593" w:rsidRPr="003E64AD" w:rsidRDefault="00B63593" w:rsidP="00393C2F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Kamila Górczyńska-Żyżkowska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</w:t>
      </w:r>
      <w:proofErr w:type="spellStart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Touch</w:t>
      </w:r>
      <w:proofErr w:type="spellEnd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>+48 601 805 484, e-mail:</w:t>
      </w:r>
      <w:r w:rsidR="00C17FF8"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</w:p>
    <w:p w14:paraId="17DEDED0" w14:textId="77777777" w:rsidR="00A65718" w:rsidRPr="003E64AD" w:rsidRDefault="00A65718" w:rsidP="00393C2F">
      <w:pPr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p w14:paraId="55F49D95" w14:textId="77777777" w:rsidR="002A2736" w:rsidRPr="003E64AD" w:rsidRDefault="002A2736" w:rsidP="00393C2F">
      <w:pPr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sectPr w:rsidR="002A2736" w:rsidRPr="003E64AD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7DD6" w14:textId="77777777" w:rsidR="00364E21" w:rsidRDefault="00364E21">
      <w:r>
        <w:separator/>
      </w:r>
    </w:p>
  </w:endnote>
  <w:endnote w:type="continuationSeparator" w:id="0">
    <w:p w14:paraId="5499244C" w14:textId="77777777" w:rsidR="00364E21" w:rsidRDefault="003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47DA" w14:textId="77777777" w:rsidR="00364E21" w:rsidRDefault="00364E21">
      <w:r>
        <w:separator/>
      </w:r>
    </w:p>
  </w:footnote>
  <w:footnote w:type="continuationSeparator" w:id="0">
    <w:p w14:paraId="1A5E9D58" w14:textId="77777777" w:rsidR="00364E21" w:rsidRDefault="0036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69C3"/>
    <w:multiLevelType w:val="multilevel"/>
    <w:tmpl w:val="445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510005"/>
    <w:multiLevelType w:val="hybridMultilevel"/>
    <w:tmpl w:val="A254FF70"/>
    <w:lvl w:ilvl="0" w:tplc="2D905D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44E0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2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D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B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BA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41E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6E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2A752B"/>
    <w:multiLevelType w:val="hybridMultilevel"/>
    <w:tmpl w:val="A0685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3B85"/>
    <w:multiLevelType w:val="multilevel"/>
    <w:tmpl w:val="1D0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2523A"/>
    <w:multiLevelType w:val="multilevel"/>
    <w:tmpl w:val="89F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377A9"/>
    <w:multiLevelType w:val="hybridMultilevel"/>
    <w:tmpl w:val="B454679C"/>
    <w:lvl w:ilvl="0" w:tplc="4F7218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C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081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3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84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CF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B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48322">
    <w:abstractNumId w:val="11"/>
  </w:num>
  <w:num w:numId="2" w16cid:durableId="1986740637">
    <w:abstractNumId w:val="37"/>
  </w:num>
  <w:num w:numId="3" w16cid:durableId="83917112">
    <w:abstractNumId w:val="0"/>
  </w:num>
  <w:num w:numId="4" w16cid:durableId="109714618">
    <w:abstractNumId w:val="29"/>
  </w:num>
  <w:num w:numId="5" w16cid:durableId="1730298473">
    <w:abstractNumId w:val="15"/>
  </w:num>
  <w:num w:numId="6" w16cid:durableId="1858351439">
    <w:abstractNumId w:val="21"/>
  </w:num>
  <w:num w:numId="7" w16cid:durableId="761069722">
    <w:abstractNumId w:val="7"/>
  </w:num>
  <w:num w:numId="8" w16cid:durableId="1245915783">
    <w:abstractNumId w:val="38"/>
  </w:num>
  <w:num w:numId="9" w16cid:durableId="829640991">
    <w:abstractNumId w:val="33"/>
  </w:num>
  <w:num w:numId="10" w16cid:durableId="166408349">
    <w:abstractNumId w:val="8"/>
  </w:num>
  <w:num w:numId="11" w16cid:durableId="1345018211">
    <w:abstractNumId w:val="41"/>
  </w:num>
  <w:num w:numId="12" w16cid:durableId="1986159625">
    <w:abstractNumId w:val="28"/>
  </w:num>
  <w:num w:numId="13" w16cid:durableId="1879853919">
    <w:abstractNumId w:val="4"/>
  </w:num>
  <w:num w:numId="14" w16cid:durableId="1572424952">
    <w:abstractNumId w:val="5"/>
  </w:num>
  <w:num w:numId="15" w16cid:durableId="662395036">
    <w:abstractNumId w:val="14"/>
  </w:num>
  <w:num w:numId="16" w16cid:durableId="1187140347">
    <w:abstractNumId w:val="13"/>
  </w:num>
  <w:num w:numId="17" w16cid:durableId="844395331">
    <w:abstractNumId w:val="36"/>
  </w:num>
  <w:num w:numId="18" w16cid:durableId="1565993979">
    <w:abstractNumId w:val="9"/>
  </w:num>
  <w:num w:numId="19" w16cid:durableId="913976736">
    <w:abstractNumId w:val="35"/>
  </w:num>
  <w:num w:numId="20" w16cid:durableId="1334458439">
    <w:abstractNumId w:val="25"/>
  </w:num>
  <w:num w:numId="21" w16cid:durableId="653679388">
    <w:abstractNumId w:val="17"/>
  </w:num>
  <w:num w:numId="22" w16cid:durableId="414279872">
    <w:abstractNumId w:val="1"/>
  </w:num>
  <w:num w:numId="23" w16cid:durableId="187646343">
    <w:abstractNumId w:val="31"/>
  </w:num>
  <w:num w:numId="24" w16cid:durableId="378750706">
    <w:abstractNumId w:val="2"/>
  </w:num>
  <w:num w:numId="25" w16cid:durableId="1364328657">
    <w:abstractNumId w:val="34"/>
  </w:num>
  <w:num w:numId="26" w16cid:durableId="28654366">
    <w:abstractNumId w:val="3"/>
  </w:num>
  <w:num w:numId="27" w16cid:durableId="536046007">
    <w:abstractNumId w:val="40"/>
  </w:num>
  <w:num w:numId="28" w16cid:durableId="1940747606">
    <w:abstractNumId w:val="24"/>
  </w:num>
  <w:num w:numId="29" w16cid:durableId="1509253070">
    <w:abstractNumId w:val="20"/>
  </w:num>
  <w:num w:numId="30" w16cid:durableId="1065254249">
    <w:abstractNumId w:val="6"/>
  </w:num>
  <w:num w:numId="31" w16cid:durableId="194782043">
    <w:abstractNumId w:val="12"/>
  </w:num>
  <w:num w:numId="32" w16cid:durableId="352459361">
    <w:abstractNumId w:val="23"/>
  </w:num>
  <w:num w:numId="33" w16cid:durableId="185675362">
    <w:abstractNumId w:val="10"/>
  </w:num>
  <w:num w:numId="34" w16cid:durableId="797993427">
    <w:abstractNumId w:val="18"/>
  </w:num>
  <w:num w:numId="35" w16cid:durableId="1321033223">
    <w:abstractNumId w:val="32"/>
  </w:num>
  <w:num w:numId="36" w16cid:durableId="1210875766">
    <w:abstractNumId w:val="39"/>
  </w:num>
  <w:num w:numId="37" w16cid:durableId="1868594148">
    <w:abstractNumId w:val="19"/>
  </w:num>
  <w:num w:numId="38" w16cid:durableId="1884175578">
    <w:abstractNumId w:val="22"/>
  </w:num>
  <w:num w:numId="39" w16cid:durableId="1687320420">
    <w:abstractNumId w:val="30"/>
  </w:num>
  <w:num w:numId="40" w16cid:durableId="1091659206">
    <w:abstractNumId w:val="16"/>
  </w:num>
  <w:num w:numId="41" w16cid:durableId="1877503256">
    <w:abstractNumId w:val="27"/>
  </w:num>
  <w:num w:numId="42" w16cid:durableId="160436339">
    <w:abstractNumId w:val="26"/>
  </w:num>
  <w:num w:numId="43" w16cid:durableId="46512835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41B56"/>
    <w:rsid w:val="00042A10"/>
    <w:rsid w:val="00052F9A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21FE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F2BC7"/>
    <w:rsid w:val="000F50D0"/>
    <w:rsid w:val="000F5108"/>
    <w:rsid w:val="001000FF"/>
    <w:rsid w:val="00111D1A"/>
    <w:rsid w:val="00111E31"/>
    <w:rsid w:val="00116299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80B48"/>
    <w:rsid w:val="00284FD0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305D7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64E21"/>
    <w:rsid w:val="0036587D"/>
    <w:rsid w:val="00370B54"/>
    <w:rsid w:val="00374FDA"/>
    <w:rsid w:val="00375386"/>
    <w:rsid w:val="003767A4"/>
    <w:rsid w:val="003773D5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4010D6"/>
    <w:rsid w:val="004025EB"/>
    <w:rsid w:val="00406C90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28D6"/>
    <w:rsid w:val="004F3CE3"/>
    <w:rsid w:val="00501B4A"/>
    <w:rsid w:val="00504FB7"/>
    <w:rsid w:val="00505C35"/>
    <w:rsid w:val="00513052"/>
    <w:rsid w:val="00522FA6"/>
    <w:rsid w:val="00524D31"/>
    <w:rsid w:val="00527582"/>
    <w:rsid w:val="00531831"/>
    <w:rsid w:val="005330EA"/>
    <w:rsid w:val="00543010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4169"/>
    <w:rsid w:val="005754ED"/>
    <w:rsid w:val="00586E07"/>
    <w:rsid w:val="005876AF"/>
    <w:rsid w:val="005914CC"/>
    <w:rsid w:val="005926C6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53355"/>
    <w:rsid w:val="00655B2F"/>
    <w:rsid w:val="00657990"/>
    <w:rsid w:val="006628B0"/>
    <w:rsid w:val="00672866"/>
    <w:rsid w:val="006754E4"/>
    <w:rsid w:val="00681326"/>
    <w:rsid w:val="00686503"/>
    <w:rsid w:val="006901B2"/>
    <w:rsid w:val="006945E8"/>
    <w:rsid w:val="00694E4B"/>
    <w:rsid w:val="006A0E87"/>
    <w:rsid w:val="006A1C74"/>
    <w:rsid w:val="006A1DC2"/>
    <w:rsid w:val="006A1FEB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6AE0"/>
    <w:rsid w:val="006E6939"/>
    <w:rsid w:val="006E6EC3"/>
    <w:rsid w:val="006E792E"/>
    <w:rsid w:val="006E7A6D"/>
    <w:rsid w:val="006F1B32"/>
    <w:rsid w:val="006F4451"/>
    <w:rsid w:val="006F7818"/>
    <w:rsid w:val="00704A75"/>
    <w:rsid w:val="0070619B"/>
    <w:rsid w:val="00711058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42080"/>
    <w:rsid w:val="0084589D"/>
    <w:rsid w:val="00846B43"/>
    <w:rsid w:val="00850E4C"/>
    <w:rsid w:val="00854AFD"/>
    <w:rsid w:val="00861805"/>
    <w:rsid w:val="00863089"/>
    <w:rsid w:val="0086504F"/>
    <w:rsid w:val="00865200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F0D44"/>
    <w:rsid w:val="009002E9"/>
    <w:rsid w:val="00901B6E"/>
    <w:rsid w:val="00903370"/>
    <w:rsid w:val="009127BF"/>
    <w:rsid w:val="00914CCF"/>
    <w:rsid w:val="00914DB9"/>
    <w:rsid w:val="009175BC"/>
    <w:rsid w:val="009212C1"/>
    <w:rsid w:val="0092679B"/>
    <w:rsid w:val="009315E1"/>
    <w:rsid w:val="009359F1"/>
    <w:rsid w:val="00935C9B"/>
    <w:rsid w:val="00944433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91922"/>
    <w:rsid w:val="00994EF1"/>
    <w:rsid w:val="009953D8"/>
    <w:rsid w:val="0099575A"/>
    <w:rsid w:val="00997263"/>
    <w:rsid w:val="009A06E2"/>
    <w:rsid w:val="009A7960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E1C1E"/>
    <w:rsid w:val="009F1353"/>
    <w:rsid w:val="009F3B14"/>
    <w:rsid w:val="009F5288"/>
    <w:rsid w:val="00A0186C"/>
    <w:rsid w:val="00A03E12"/>
    <w:rsid w:val="00A03E4E"/>
    <w:rsid w:val="00A04BDA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20FDC"/>
    <w:rsid w:val="00B22D6E"/>
    <w:rsid w:val="00B26A14"/>
    <w:rsid w:val="00B30281"/>
    <w:rsid w:val="00B340D3"/>
    <w:rsid w:val="00B47D9A"/>
    <w:rsid w:val="00B63593"/>
    <w:rsid w:val="00B73710"/>
    <w:rsid w:val="00B77EA1"/>
    <w:rsid w:val="00B804E2"/>
    <w:rsid w:val="00B80BDD"/>
    <w:rsid w:val="00B80F6C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820ED"/>
    <w:rsid w:val="00C82ADD"/>
    <w:rsid w:val="00C82E5B"/>
    <w:rsid w:val="00C85070"/>
    <w:rsid w:val="00C927AA"/>
    <w:rsid w:val="00C94942"/>
    <w:rsid w:val="00C971F1"/>
    <w:rsid w:val="00C978AE"/>
    <w:rsid w:val="00C97C4A"/>
    <w:rsid w:val="00C97DC1"/>
    <w:rsid w:val="00CA2B3C"/>
    <w:rsid w:val="00CA353E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6DB2"/>
    <w:rsid w:val="00DF2807"/>
    <w:rsid w:val="00DF619D"/>
    <w:rsid w:val="00E01ED8"/>
    <w:rsid w:val="00E04CE8"/>
    <w:rsid w:val="00E05EEB"/>
    <w:rsid w:val="00E0635C"/>
    <w:rsid w:val="00E1533C"/>
    <w:rsid w:val="00E1586C"/>
    <w:rsid w:val="00E22E10"/>
    <w:rsid w:val="00E23EB3"/>
    <w:rsid w:val="00E246FC"/>
    <w:rsid w:val="00E46A59"/>
    <w:rsid w:val="00E46CE2"/>
    <w:rsid w:val="00E51CF6"/>
    <w:rsid w:val="00E53508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EF342A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A0894"/>
    <w:rsid w:val="00FA5DF6"/>
    <w:rsid w:val="00FB4E85"/>
    <w:rsid w:val="00FB583F"/>
    <w:rsid w:val="00FC2538"/>
    <w:rsid w:val="00FD1DCC"/>
    <w:rsid w:val="00FD2D0B"/>
    <w:rsid w:val="00FD4E95"/>
    <w:rsid w:val="00FD618C"/>
    <w:rsid w:val="00FD7D65"/>
    <w:rsid w:val="00FE2FAB"/>
    <w:rsid w:val="00FE66DA"/>
    <w:rsid w:val="00FF0BA0"/>
    <w:rsid w:val="00FF22D1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828</Words>
  <Characters>4159</Characters>
  <Application>Microsoft Office Word</Application>
  <DocSecurity>2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4978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5</cp:revision>
  <cp:lastPrinted>2022-02-11T07:38:00Z</cp:lastPrinted>
  <dcterms:created xsi:type="dcterms:W3CDTF">2022-08-04T14:41:00Z</dcterms:created>
  <dcterms:modified xsi:type="dcterms:W3CDTF">2022-11-15T09:24:00Z</dcterms:modified>
</cp:coreProperties>
</file>