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D09A" w14:textId="77777777" w:rsidR="0098363D" w:rsidRPr="001110DE" w:rsidRDefault="00FF447F" w:rsidP="00412588">
      <w:pPr>
        <w:spacing w:line="276" w:lineRule="auto"/>
        <w:jc w:val="right"/>
        <w:rPr>
          <w:rFonts w:ascii="Calibri" w:hAnsi="Calibri" w:cs="Calibri"/>
          <w:color w:val="7F7F7F" w:themeColor="text1" w:themeTint="80"/>
          <w:sz w:val="20"/>
          <w:szCs w:val="20"/>
        </w:rPr>
      </w:pPr>
      <w:r w:rsidRPr="001110D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r w:rsidR="00A0186C" w:rsidRPr="001110DE">
        <w:rPr>
          <w:rFonts w:ascii="Calibri" w:hAnsi="Calibri" w:cs="Calibri"/>
          <w:color w:val="7F7F7F" w:themeColor="text1" w:themeTint="80"/>
          <w:sz w:val="20"/>
          <w:szCs w:val="20"/>
        </w:rPr>
        <w:t>Informacja prasowa</w:t>
      </w:r>
    </w:p>
    <w:p w14:paraId="1DD8CA7C" w14:textId="06C12630" w:rsidR="002E3000" w:rsidRPr="001110DE" w:rsidRDefault="002E3000" w:rsidP="00412588">
      <w:pPr>
        <w:spacing w:line="276" w:lineRule="auto"/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1110DE">
        <w:rPr>
          <w:rFonts w:ascii="Calibri" w:hAnsi="Calibri" w:cs="Calibri"/>
          <w:color w:val="000000" w:themeColor="text1"/>
          <w:sz w:val="20"/>
          <w:szCs w:val="20"/>
        </w:rPr>
        <w:t>Zielona Góra</w:t>
      </w:r>
      <w:r w:rsidR="00FF28EB" w:rsidRPr="001110DE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="008C69A2">
        <w:rPr>
          <w:rFonts w:ascii="Calibri" w:hAnsi="Calibri" w:cs="Calibri"/>
          <w:color w:val="000000" w:themeColor="text1"/>
          <w:sz w:val="20"/>
          <w:szCs w:val="20"/>
        </w:rPr>
        <w:t>14</w:t>
      </w:r>
      <w:r w:rsidR="00FD7D65" w:rsidRPr="001110D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E2417F" w:rsidRPr="001110DE">
        <w:rPr>
          <w:rFonts w:ascii="Calibri" w:hAnsi="Calibri" w:cs="Calibri"/>
          <w:color w:val="000000" w:themeColor="text1"/>
          <w:sz w:val="20"/>
          <w:szCs w:val="20"/>
        </w:rPr>
        <w:t xml:space="preserve">lutego </w:t>
      </w:r>
      <w:r w:rsidRPr="001110DE">
        <w:rPr>
          <w:rFonts w:ascii="Calibri" w:hAnsi="Calibri" w:cs="Calibri"/>
          <w:color w:val="000000" w:themeColor="text1"/>
          <w:sz w:val="20"/>
          <w:szCs w:val="20"/>
        </w:rPr>
        <w:t>202</w:t>
      </w:r>
      <w:r w:rsidR="00E2417F" w:rsidRPr="001110DE">
        <w:rPr>
          <w:rFonts w:ascii="Calibri" w:hAnsi="Calibri" w:cs="Calibri"/>
          <w:color w:val="000000" w:themeColor="text1"/>
          <w:sz w:val="20"/>
          <w:szCs w:val="20"/>
        </w:rPr>
        <w:t>3</w:t>
      </w:r>
      <w:r w:rsidR="00B63593" w:rsidRPr="001110D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1110DE">
        <w:rPr>
          <w:rFonts w:ascii="Calibri" w:hAnsi="Calibri" w:cs="Calibri"/>
          <w:color w:val="000000" w:themeColor="text1"/>
          <w:sz w:val="20"/>
          <w:szCs w:val="20"/>
        </w:rPr>
        <w:t>r.</w:t>
      </w:r>
    </w:p>
    <w:p w14:paraId="70863E9F" w14:textId="77777777" w:rsidR="0098363D" w:rsidRPr="001110DE" w:rsidRDefault="0098363D" w:rsidP="00412588">
      <w:pPr>
        <w:spacing w:line="276" w:lineRule="auto"/>
        <w:jc w:val="right"/>
        <w:rPr>
          <w:rFonts w:ascii="Calibri" w:hAnsi="Calibri" w:cs="Calibri"/>
          <w:color w:val="7F7F7F" w:themeColor="text1" w:themeTint="80"/>
          <w:sz w:val="20"/>
          <w:szCs w:val="20"/>
        </w:rPr>
      </w:pPr>
    </w:p>
    <w:p w14:paraId="0F380F47" w14:textId="77777777" w:rsidR="00AB592D" w:rsidRPr="001110DE" w:rsidRDefault="00AB592D" w:rsidP="00412588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3E6B5F83" w14:textId="5771CD70" w:rsidR="008C69A2" w:rsidRPr="008C69A2" w:rsidRDefault="00AB592D" w:rsidP="008C69A2">
      <w:pPr>
        <w:spacing w:line="276" w:lineRule="auto"/>
        <w:rPr>
          <w:rFonts w:ascii="Calibri" w:hAnsi="Calibri" w:cs="Calibri"/>
          <w:color w:val="7F7F7F" w:themeColor="text1" w:themeTint="80"/>
          <w:sz w:val="21"/>
          <w:szCs w:val="21"/>
        </w:rPr>
      </w:pPr>
      <w:r w:rsidRPr="001110DE">
        <w:rPr>
          <w:rFonts w:ascii="Calibri" w:hAnsi="Calibri" w:cs="Calibri"/>
          <w:color w:val="7F7F7F" w:themeColor="text1" w:themeTint="80"/>
          <w:sz w:val="20"/>
          <w:szCs w:val="20"/>
        </w:rPr>
        <w:t>S</w:t>
      </w:r>
      <w:r w:rsidR="008C69A2">
        <w:rPr>
          <w:rFonts w:ascii="Calibri" w:hAnsi="Calibri" w:cs="Calibri"/>
          <w:color w:val="7F7F7F" w:themeColor="text1" w:themeTint="80"/>
          <w:sz w:val="21"/>
          <w:szCs w:val="21"/>
        </w:rPr>
        <w:t>konsolidowane wyniki fina</w:t>
      </w:r>
      <w:r w:rsidR="00E523C2">
        <w:rPr>
          <w:rFonts w:ascii="Calibri" w:hAnsi="Calibri" w:cs="Calibri"/>
          <w:color w:val="7F7F7F" w:themeColor="text1" w:themeTint="80"/>
          <w:sz w:val="21"/>
          <w:szCs w:val="21"/>
        </w:rPr>
        <w:t>n</w:t>
      </w:r>
      <w:r w:rsidR="008C69A2">
        <w:rPr>
          <w:rFonts w:ascii="Calibri" w:hAnsi="Calibri" w:cs="Calibri"/>
          <w:color w:val="7F7F7F" w:themeColor="text1" w:themeTint="80"/>
          <w:sz w:val="21"/>
          <w:szCs w:val="21"/>
        </w:rPr>
        <w:t>sowe</w:t>
      </w:r>
      <w:r w:rsidR="00FD7D65" w:rsidRPr="001110DE">
        <w:rPr>
          <w:rFonts w:ascii="Calibri" w:hAnsi="Calibri" w:cs="Calibri"/>
          <w:color w:val="7F7F7F" w:themeColor="text1" w:themeTint="80"/>
          <w:sz w:val="21"/>
          <w:szCs w:val="21"/>
        </w:rPr>
        <w:t xml:space="preserve"> </w:t>
      </w:r>
      <w:r w:rsidRPr="001110DE">
        <w:rPr>
          <w:rFonts w:ascii="Calibri" w:hAnsi="Calibri" w:cs="Calibri"/>
          <w:color w:val="7F7F7F" w:themeColor="text1" w:themeTint="80"/>
          <w:sz w:val="21"/>
          <w:szCs w:val="21"/>
        </w:rPr>
        <w:t xml:space="preserve">Grupy Kapitałowej LUG S.A. za </w:t>
      </w:r>
      <w:r w:rsidR="00FD7D65" w:rsidRPr="001110DE">
        <w:rPr>
          <w:rFonts w:ascii="Calibri" w:hAnsi="Calibri" w:cs="Calibri"/>
          <w:color w:val="7F7F7F" w:themeColor="text1" w:themeTint="80"/>
          <w:sz w:val="21"/>
          <w:szCs w:val="21"/>
        </w:rPr>
        <w:t>I</w:t>
      </w:r>
      <w:r w:rsidR="00E2417F" w:rsidRPr="001110DE">
        <w:rPr>
          <w:rFonts w:ascii="Calibri" w:hAnsi="Calibri" w:cs="Calibri"/>
          <w:color w:val="7F7F7F" w:themeColor="text1" w:themeTint="80"/>
          <w:sz w:val="21"/>
          <w:szCs w:val="21"/>
        </w:rPr>
        <w:t>V</w:t>
      </w:r>
      <w:r w:rsidR="00FD7D65" w:rsidRPr="001110DE">
        <w:rPr>
          <w:rFonts w:ascii="Calibri" w:hAnsi="Calibri" w:cs="Calibri"/>
          <w:color w:val="7F7F7F" w:themeColor="text1" w:themeTint="80"/>
          <w:sz w:val="21"/>
          <w:szCs w:val="21"/>
        </w:rPr>
        <w:t xml:space="preserve"> kwartał </w:t>
      </w:r>
      <w:r w:rsidRPr="001110DE">
        <w:rPr>
          <w:rFonts w:ascii="Calibri" w:hAnsi="Calibri" w:cs="Calibri"/>
          <w:color w:val="7F7F7F" w:themeColor="text1" w:themeTint="80"/>
          <w:sz w:val="21"/>
          <w:szCs w:val="21"/>
        </w:rPr>
        <w:t>202</w:t>
      </w:r>
      <w:r w:rsidR="008C69A2">
        <w:rPr>
          <w:rFonts w:ascii="Calibri" w:hAnsi="Calibri" w:cs="Calibri"/>
          <w:color w:val="7F7F7F" w:themeColor="text1" w:themeTint="80"/>
          <w:sz w:val="21"/>
          <w:szCs w:val="21"/>
        </w:rPr>
        <w:t>2</w:t>
      </w:r>
      <w:r w:rsidRPr="001110DE">
        <w:rPr>
          <w:rFonts w:ascii="Calibri" w:hAnsi="Calibri" w:cs="Calibri"/>
          <w:color w:val="7F7F7F" w:themeColor="text1" w:themeTint="80"/>
          <w:sz w:val="21"/>
          <w:szCs w:val="21"/>
        </w:rPr>
        <w:t xml:space="preserve"> r</w:t>
      </w:r>
      <w:r w:rsidR="00412588" w:rsidRPr="001110DE">
        <w:rPr>
          <w:rFonts w:ascii="Calibri" w:hAnsi="Calibri" w:cs="Calibri"/>
          <w:color w:val="7F7F7F" w:themeColor="text1" w:themeTint="80"/>
          <w:sz w:val="21"/>
          <w:szCs w:val="21"/>
        </w:rPr>
        <w:t>.</w:t>
      </w:r>
    </w:p>
    <w:p w14:paraId="15DC4FE1" w14:textId="77777777" w:rsidR="00850AEE" w:rsidRDefault="00850AEE" w:rsidP="00850AEE">
      <w:pPr>
        <w:rPr>
          <w:rFonts w:asciiTheme="minorHAnsi" w:eastAsiaTheme="minorEastAsia" w:hAnsiTheme="minorHAnsi" w:cstheme="minorHAnsi"/>
          <w:b/>
          <w:bCs/>
          <w:highlight w:val="yellow"/>
        </w:rPr>
      </w:pPr>
    </w:p>
    <w:p w14:paraId="17BA4F3D" w14:textId="665CFDC5" w:rsidR="00850AEE" w:rsidRPr="00850AEE" w:rsidRDefault="00850AEE" w:rsidP="00850AE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50AEE">
        <w:rPr>
          <w:rFonts w:asciiTheme="minorHAnsi" w:eastAsiaTheme="minorEastAsia" w:hAnsiTheme="minorHAnsi" w:cstheme="minorHAnsi"/>
          <w:b/>
          <w:bCs/>
        </w:rPr>
        <w:t xml:space="preserve">Rosnące ceny energii potęgują popyt na produkty </w:t>
      </w:r>
      <w:r w:rsidR="008C69A2" w:rsidRPr="00850AEE">
        <w:rPr>
          <w:rFonts w:asciiTheme="minorHAnsi" w:eastAsiaTheme="minorEastAsia" w:hAnsiTheme="minorHAnsi" w:cstheme="minorHAnsi"/>
          <w:b/>
          <w:bCs/>
        </w:rPr>
        <w:t>LUG</w:t>
      </w:r>
      <w:r w:rsidRPr="00850AE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4D9F36F2" w14:textId="42BF4C4A" w:rsidR="008C69A2" w:rsidRPr="00E05D7B" w:rsidRDefault="008C69A2" w:rsidP="0083611C">
      <w:pPr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332648DB" w14:textId="27F7243E" w:rsidR="00837185" w:rsidRPr="00E05D7B" w:rsidRDefault="00837185" w:rsidP="0083611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05D7B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>238,47 mln zł przychodów ze sprzedaży po czterech kwartałach roku</w:t>
      </w:r>
      <w:r w:rsidRPr="00E05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</w:t>
      </w:r>
      <w:r w:rsidRPr="00E05D7B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 xml:space="preserve">63,5 </w:t>
      </w:r>
      <w:r w:rsidRPr="00E05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mln zł przychodów w IV kwartale 2022 roku (+5,6% r/r)</w:t>
      </w:r>
      <w:r w:rsidR="00850A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;</w:t>
      </w:r>
    </w:p>
    <w:p w14:paraId="2AD83804" w14:textId="31E81E20" w:rsidR="00837185" w:rsidRPr="00E05D7B" w:rsidRDefault="00837185" w:rsidP="0083611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05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22,39 mln zł zysku brutto na sprzedaży w IV kwartale 2022 roku (+15,8% r/r)</w:t>
      </w:r>
    </w:p>
    <w:p w14:paraId="47B49794" w14:textId="09172702" w:rsidR="008C69A2" w:rsidRPr="00E05D7B" w:rsidRDefault="008C69A2" w:rsidP="0083611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05D7B">
        <w:rPr>
          <w:rFonts w:ascii="Calibri" w:eastAsia="Calibri" w:hAnsi="Calibri" w:cs="Calibri"/>
          <w:b/>
          <w:sz w:val="22"/>
          <w:szCs w:val="22"/>
          <w:lang w:eastAsia="en-US"/>
        </w:rPr>
        <w:t>19,</w:t>
      </w:r>
      <w:r w:rsidR="003014FE">
        <w:rPr>
          <w:rFonts w:ascii="Calibri" w:eastAsia="Calibri" w:hAnsi="Calibri" w:cs="Calibri"/>
          <w:b/>
          <w:sz w:val="22"/>
          <w:szCs w:val="22"/>
          <w:lang w:eastAsia="en-US"/>
        </w:rPr>
        <w:t>34</w:t>
      </w:r>
      <w:r w:rsidRPr="00E05D7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mln zł wyniku EBITDA za cały rok</w:t>
      </w:r>
      <w:r w:rsidR="00E05D7B" w:rsidRPr="00E05D7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i 3,29 </w:t>
      </w:r>
      <w:r w:rsidR="00E05D7B" w:rsidRPr="00E05D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mln zł EBITDA w IV kwartale roku 2022 </w:t>
      </w:r>
      <w:r w:rsidR="0083611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</w:r>
      <w:r w:rsidR="00E05D7B" w:rsidRPr="00E05D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(+5,4% r/r)</w:t>
      </w:r>
      <w:r w:rsidRPr="00E05D7B">
        <w:rPr>
          <w:rFonts w:ascii="Calibri" w:eastAsia="Calibri" w:hAnsi="Calibri" w:cs="Calibri"/>
          <w:b/>
          <w:sz w:val="22"/>
          <w:szCs w:val="22"/>
          <w:lang w:eastAsia="en-US"/>
        </w:rPr>
        <w:t>;</w:t>
      </w:r>
    </w:p>
    <w:p w14:paraId="1060550E" w14:textId="379D6DAD" w:rsidR="008C69A2" w:rsidRPr="00E05D7B" w:rsidRDefault="00E05D7B" w:rsidP="0083611C">
      <w:pPr>
        <w:pStyle w:val="Akapitzlist"/>
        <w:numPr>
          <w:ilvl w:val="0"/>
          <w:numId w:val="46"/>
        </w:num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5D7B">
        <w:rPr>
          <w:rFonts w:ascii="Calibri" w:eastAsia="Calibri" w:hAnsi="Calibri" w:cs="Calibri"/>
          <w:b/>
          <w:sz w:val="22"/>
          <w:szCs w:val="22"/>
          <w:lang w:eastAsia="en-US"/>
        </w:rPr>
        <w:t>Zysk netto za dwanaście miesięcy wyniósł 3,1 mln zł</w:t>
      </w:r>
      <w:r w:rsidR="003014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, w samym IV kwartale </w:t>
      </w:r>
      <w:r w:rsidR="008C69A2" w:rsidRPr="00E05D7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0,67 mln zł zysku netto </w:t>
      </w:r>
      <w:r w:rsidR="00837185" w:rsidRPr="00E05D7B">
        <w:rPr>
          <w:rFonts w:ascii="Calibri" w:eastAsia="Calibri" w:hAnsi="Calibri" w:cs="Calibri"/>
          <w:b/>
          <w:sz w:val="22"/>
          <w:szCs w:val="22"/>
          <w:lang w:eastAsia="en-US"/>
        </w:rPr>
        <w:t>dla akcjonariuszy jednostki dominującej (-</w:t>
      </w:r>
      <w:r w:rsidRPr="00E05D7B">
        <w:rPr>
          <w:rFonts w:ascii="Calibri" w:eastAsia="Calibri" w:hAnsi="Calibri" w:cs="Calibri"/>
          <w:b/>
          <w:sz w:val="22"/>
          <w:szCs w:val="22"/>
          <w:lang w:eastAsia="en-US"/>
        </w:rPr>
        <w:t>68,2% r/r)</w:t>
      </w:r>
      <w:r w:rsidR="0083611C">
        <w:rPr>
          <w:rFonts w:ascii="Calibri" w:eastAsia="Calibri" w:hAnsi="Calibri" w:cs="Calibri"/>
          <w:b/>
          <w:sz w:val="22"/>
          <w:szCs w:val="22"/>
          <w:lang w:eastAsia="en-US"/>
        </w:rPr>
        <w:t>;</w:t>
      </w:r>
    </w:p>
    <w:p w14:paraId="06574137" w14:textId="4F84F313" w:rsidR="00837185" w:rsidRPr="00E05D7B" w:rsidRDefault="00837185" w:rsidP="0083611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05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Aktywacja prawa opcji w zakresie maksymalnego poziomu zamówienia w ramach kontraktu</w:t>
      </w:r>
      <w:r w:rsidR="00E05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05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 dostawę opraw oświetleniowych dla m.st. Warszawy.</w:t>
      </w:r>
    </w:p>
    <w:p w14:paraId="4093EF7C" w14:textId="77777777" w:rsidR="00E05D7B" w:rsidRPr="00E05D7B" w:rsidRDefault="00E05D7B" w:rsidP="00E05D7B">
      <w:pPr>
        <w:contextualSpacing/>
        <w:rPr>
          <w:rFonts w:ascii="Calibri" w:eastAsia="Calibri" w:hAnsi="Calibri" w:cs="Calibri"/>
          <w:b/>
          <w:sz w:val="22"/>
          <w:szCs w:val="22"/>
          <w:highlight w:val="yellow"/>
          <w:lang w:eastAsia="en-US"/>
        </w:rPr>
      </w:pPr>
    </w:p>
    <w:p w14:paraId="0CA57ABA" w14:textId="77777777" w:rsidR="00837185" w:rsidRPr="005F0D4B" w:rsidRDefault="00837185" w:rsidP="008C69A2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627D56A" w14:textId="3E7B7095" w:rsidR="008C69A2" w:rsidRPr="007904FA" w:rsidRDefault="008C69A2" w:rsidP="007904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D3944">
        <w:rPr>
          <w:rFonts w:asciiTheme="minorHAnsi" w:hAnsiTheme="minorHAnsi" w:cstheme="minorHAnsi"/>
          <w:b/>
          <w:bCs/>
          <w:sz w:val="20"/>
          <w:szCs w:val="20"/>
        </w:rPr>
        <w:t>Grupa Kapitałowa LUG S.A. opublikowała wyniki finansowe za IV kwartał 202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 r. Skonsolidowane przychody Grupy w IV kw. 202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 wyniosły </w:t>
      </w:r>
      <w:r w:rsidR="00E05D7B">
        <w:rPr>
          <w:rFonts w:asciiTheme="minorHAnsi" w:hAnsiTheme="minorHAnsi" w:cstheme="minorHAnsi"/>
          <w:b/>
          <w:bCs/>
          <w:sz w:val="20"/>
          <w:szCs w:val="20"/>
        </w:rPr>
        <w:t>63,5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>mln zł.</w:t>
      </w:r>
      <w:r w:rsidR="00AA0C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Zysk brutto </w:t>
      </w:r>
      <w:r>
        <w:rPr>
          <w:rFonts w:asciiTheme="minorHAnsi" w:hAnsiTheme="minorHAnsi" w:cstheme="minorHAnsi"/>
          <w:b/>
          <w:bCs/>
          <w:sz w:val="20"/>
          <w:szCs w:val="20"/>
        </w:rPr>
        <w:t>ze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 sprzedaży wyniósł w IV kw. 2021</w:t>
      </w:r>
      <w:r w:rsidR="00AA0C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AA0C9B">
        <w:rPr>
          <w:rFonts w:asciiTheme="minorHAnsi" w:hAnsiTheme="minorHAnsi" w:cstheme="minorHAnsi"/>
          <w:b/>
          <w:bCs/>
          <w:sz w:val="20"/>
          <w:szCs w:val="20"/>
        </w:rPr>
        <w:t>oku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05D7B">
        <w:rPr>
          <w:rFonts w:asciiTheme="minorHAnsi" w:hAnsiTheme="minorHAnsi" w:cstheme="minorHAnsi"/>
          <w:b/>
          <w:bCs/>
          <w:sz w:val="20"/>
          <w:szCs w:val="20"/>
        </w:rPr>
        <w:t>22,39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mln zł </w:t>
      </w:r>
      <w:r w:rsidRPr="00401B03">
        <w:rPr>
          <w:rFonts w:asciiTheme="minorHAnsi" w:hAnsiTheme="minorHAnsi" w:cstheme="minorHAnsi"/>
          <w:b/>
          <w:bCs/>
          <w:sz w:val="20"/>
          <w:szCs w:val="20"/>
        </w:rPr>
        <w:t xml:space="preserve">względem </w:t>
      </w:r>
      <w:r w:rsidR="00401B03" w:rsidRPr="00401B03">
        <w:rPr>
          <w:rFonts w:asciiTheme="minorHAnsi" w:hAnsiTheme="minorHAnsi" w:cstheme="minorHAnsi"/>
          <w:b/>
          <w:bCs/>
          <w:sz w:val="20"/>
          <w:szCs w:val="20"/>
        </w:rPr>
        <w:t>19,33</w:t>
      </w:r>
      <w:r w:rsidRPr="00401B03">
        <w:rPr>
          <w:rFonts w:asciiTheme="minorHAnsi" w:hAnsiTheme="minorHAnsi" w:cstheme="minorHAnsi"/>
          <w:b/>
          <w:bCs/>
          <w:sz w:val="20"/>
          <w:szCs w:val="20"/>
        </w:rPr>
        <w:t xml:space="preserve"> mln zł w analogicznym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 okresie 20</w:t>
      </w:r>
      <w:r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01855">
        <w:rPr>
          <w:rFonts w:asciiTheme="minorHAnsi" w:hAnsiTheme="minorHAnsi" w:cstheme="minorHAnsi"/>
          <w:b/>
          <w:bCs/>
          <w:sz w:val="20"/>
          <w:szCs w:val="20"/>
        </w:rPr>
        <w:t>roku</w:t>
      </w:r>
      <w:r w:rsidR="00AA0C9B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A0C9B" w:rsidRPr="007904FA">
        <w:rPr>
          <w:rFonts w:asciiTheme="minorHAnsi" w:hAnsiTheme="minorHAnsi" w:cstheme="minorHAnsi"/>
          <w:b/>
          <w:bCs/>
          <w:sz w:val="20"/>
          <w:szCs w:val="20"/>
        </w:rPr>
        <w:t>W ujęciu czterech ostatnich kwartałów</w:t>
      </w:r>
      <w:r w:rsidR="00E523C2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AA0C9B" w:rsidRPr="007904FA">
        <w:rPr>
          <w:rFonts w:asciiTheme="minorHAnsi" w:hAnsiTheme="minorHAnsi" w:cstheme="minorHAnsi"/>
          <w:b/>
          <w:bCs/>
          <w:sz w:val="20"/>
          <w:szCs w:val="20"/>
        </w:rPr>
        <w:t xml:space="preserve"> zysk brutto na sprzedaży wzrósł o 13,7</w:t>
      </w:r>
      <w:r w:rsidR="007904FA">
        <w:rPr>
          <w:rFonts w:asciiTheme="minorHAnsi" w:hAnsiTheme="minorHAnsi" w:cstheme="minorHAnsi"/>
          <w:b/>
          <w:bCs/>
          <w:sz w:val="20"/>
          <w:szCs w:val="20"/>
        </w:rPr>
        <w:t xml:space="preserve"> procent</w:t>
      </w:r>
      <w:r w:rsidR="00E523C2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AA0C9B" w:rsidRPr="007904FA">
        <w:rPr>
          <w:rFonts w:asciiTheme="minorHAnsi" w:hAnsiTheme="minorHAnsi" w:cstheme="minorHAnsi"/>
          <w:b/>
          <w:bCs/>
          <w:sz w:val="20"/>
          <w:szCs w:val="20"/>
        </w:rPr>
        <w:t xml:space="preserve"> do poziomu 88,17 mln zł.</w:t>
      </w:r>
      <w:r w:rsidR="007904FA" w:rsidRPr="007904FA">
        <w:rPr>
          <w:rFonts w:asciiTheme="minorHAnsi" w:hAnsiTheme="minorHAnsi" w:cstheme="minorHAnsi"/>
          <w:b/>
          <w:bCs/>
          <w:sz w:val="20"/>
          <w:szCs w:val="20"/>
        </w:rPr>
        <w:t xml:space="preserve"> M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arża brutto na sprzedaży </w:t>
      </w:r>
      <w:r w:rsidR="003014FE">
        <w:rPr>
          <w:rFonts w:asciiTheme="minorHAnsi" w:hAnsiTheme="minorHAnsi" w:cstheme="minorHAnsi"/>
          <w:b/>
          <w:bCs/>
          <w:sz w:val="20"/>
          <w:szCs w:val="20"/>
        </w:rPr>
        <w:t xml:space="preserve">w ostatnim kwartale minionego roku 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wyniosła </w:t>
      </w:r>
      <w:r w:rsidR="003014FE">
        <w:rPr>
          <w:rFonts w:asciiTheme="minorHAnsi" w:hAnsiTheme="minorHAnsi" w:cstheme="minorHAnsi"/>
          <w:b/>
          <w:bCs/>
          <w:sz w:val="20"/>
          <w:szCs w:val="20"/>
        </w:rPr>
        <w:t>35,3</w:t>
      </w:r>
      <w:r w:rsidR="00D10D21">
        <w:rPr>
          <w:rFonts w:asciiTheme="minorHAnsi" w:hAnsiTheme="minorHAnsi" w:cstheme="minorHAnsi"/>
          <w:b/>
          <w:bCs/>
          <w:sz w:val="20"/>
          <w:szCs w:val="20"/>
        </w:rPr>
        <w:t xml:space="preserve"> procent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>. Marża brutto na sprzedaży w ujęciu narastającym</w:t>
      </w:r>
      <w:r w:rsidR="008473C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>za dwanaście miesięcy minionego roku</w:t>
      </w:r>
      <w:r w:rsidR="008473C5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 ukształtowała się na poziomie </w:t>
      </w:r>
      <w:r w:rsidR="00D10D21">
        <w:rPr>
          <w:rFonts w:asciiTheme="minorHAnsi" w:hAnsiTheme="minorHAnsi" w:cstheme="minorHAnsi"/>
          <w:b/>
          <w:bCs/>
          <w:sz w:val="20"/>
          <w:szCs w:val="20"/>
        </w:rPr>
        <w:t>37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10D21">
        <w:rPr>
          <w:rFonts w:asciiTheme="minorHAnsi" w:hAnsiTheme="minorHAnsi" w:cstheme="minorHAnsi"/>
          <w:b/>
          <w:bCs/>
          <w:sz w:val="20"/>
          <w:szCs w:val="20"/>
        </w:rPr>
        <w:t>procent</w:t>
      </w:r>
      <w:r w:rsidR="00E523C2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23C2">
        <w:rPr>
          <w:rFonts w:asciiTheme="minorHAnsi" w:hAnsiTheme="minorHAnsi" w:cstheme="minorHAnsi"/>
          <w:b/>
          <w:bCs/>
          <w:sz w:val="20"/>
          <w:szCs w:val="20"/>
        </w:rPr>
        <w:t>T</w:t>
      </w: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wynik bliski strategicznych założeń w wysokości 40</w:t>
      </w:r>
      <w:r w:rsidR="00D10D21" w:rsidRPr="00D10D2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10D21">
        <w:rPr>
          <w:rFonts w:asciiTheme="minorHAnsi" w:hAnsiTheme="minorHAnsi" w:cstheme="minorHAnsi"/>
          <w:b/>
          <w:bCs/>
          <w:sz w:val="20"/>
          <w:szCs w:val="20"/>
        </w:rPr>
        <w:t>procent</w:t>
      </w:r>
      <w:r w:rsidRPr="004D394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46F43E7" w14:textId="77777777" w:rsidR="00AA0C9B" w:rsidRPr="0049039A" w:rsidRDefault="00AA0C9B" w:rsidP="00D10D21">
      <w:pPr>
        <w:rPr>
          <w:rFonts w:ascii="Calibri" w:hAnsi="Calibri" w:cs="Calibri"/>
          <w:sz w:val="22"/>
          <w:szCs w:val="22"/>
        </w:rPr>
      </w:pPr>
    </w:p>
    <w:p w14:paraId="55AE1AF7" w14:textId="63B4B78D" w:rsidR="008C69A2" w:rsidRPr="00D10D21" w:rsidRDefault="00D10D21" w:rsidP="008C69A2">
      <w:pPr>
        <w:jc w:val="both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 xml:space="preserve">- </w:t>
      </w:r>
      <w:r w:rsidR="00725370" w:rsidRPr="00FC097B">
        <w:rPr>
          <w:rFonts w:ascii="Calibri" w:hAnsi="Calibri" w:cs="Calibri"/>
          <w:sz w:val="21"/>
          <w:szCs w:val="21"/>
        </w:rPr>
        <w:t>W IV kwartale 2022 roku</w:t>
      </w:r>
      <w:r w:rsidR="00E523C2">
        <w:rPr>
          <w:rFonts w:ascii="Calibri" w:hAnsi="Calibri" w:cs="Calibri"/>
          <w:sz w:val="21"/>
          <w:szCs w:val="21"/>
        </w:rPr>
        <w:t>,</w:t>
      </w:r>
      <w:r w:rsidR="00725370" w:rsidRPr="00FC097B">
        <w:rPr>
          <w:rFonts w:ascii="Calibri" w:hAnsi="Calibri" w:cs="Calibri"/>
          <w:sz w:val="21"/>
          <w:szCs w:val="21"/>
        </w:rPr>
        <w:t xml:space="preserve"> mimo trudnej sytuacji makroekonomicznej </w:t>
      </w:r>
      <w:r w:rsidR="003014FE">
        <w:rPr>
          <w:rFonts w:ascii="Calibri" w:hAnsi="Calibri" w:cs="Calibri"/>
          <w:sz w:val="21"/>
          <w:szCs w:val="21"/>
        </w:rPr>
        <w:t>i</w:t>
      </w:r>
      <w:r w:rsidR="00E523C2">
        <w:rPr>
          <w:rFonts w:ascii="Calibri" w:hAnsi="Calibri" w:cs="Calibri"/>
          <w:sz w:val="21"/>
          <w:szCs w:val="21"/>
        </w:rPr>
        <w:t xml:space="preserve"> </w:t>
      </w:r>
      <w:r w:rsidR="000B5A9A">
        <w:rPr>
          <w:rFonts w:ascii="Calibri" w:hAnsi="Calibri" w:cs="Calibri"/>
          <w:sz w:val="21"/>
          <w:szCs w:val="21"/>
        </w:rPr>
        <w:t>mierz</w:t>
      </w:r>
      <w:r w:rsidR="003014FE">
        <w:rPr>
          <w:rFonts w:ascii="Calibri" w:hAnsi="Calibri" w:cs="Calibri"/>
          <w:sz w:val="21"/>
          <w:szCs w:val="21"/>
        </w:rPr>
        <w:t>enia</w:t>
      </w:r>
      <w:r w:rsidR="000B5A9A">
        <w:rPr>
          <w:rFonts w:ascii="Calibri" w:hAnsi="Calibri" w:cs="Calibri"/>
          <w:sz w:val="21"/>
          <w:szCs w:val="21"/>
        </w:rPr>
        <w:t xml:space="preserve"> się ze</w:t>
      </w:r>
      <w:r w:rsidR="00725370" w:rsidRPr="00FC097B">
        <w:rPr>
          <w:rFonts w:ascii="Calibri" w:hAnsi="Calibri" w:cs="Calibri"/>
          <w:sz w:val="21"/>
          <w:szCs w:val="21"/>
        </w:rPr>
        <w:t xml:space="preserve"> </w:t>
      </w:r>
      <w:r w:rsidRPr="00FC097B">
        <w:rPr>
          <w:rFonts w:ascii="Calibri" w:hAnsi="Calibri" w:cs="Calibri"/>
          <w:sz w:val="21"/>
          <w:szCs w:val="21"/>
        </w:rPr>
        <w:t>wzr</w:t>
      </w:r>
      <w:r w:rsidR="00725370" w:rsidRPr="00FC097B">
        <w:rPr>
          <w:rFonts w:ascii="Calibri" w:hAnsi="Calibri" w:cs="Calibri"/>
          <w:sz w:val="21"/>
          <w:szCs w:val="21"/>
        </w:rPr>
        <w:t>ost</w:t>
      </w:r>
      <w:r w:rsidR="000B5A9A">
        <w:rPr>
          <w:rFonts w:ascii="Calibri" w:hAnsi="Calibri" w:cs="Calibri"/>
          <w:sz w:val="21"/>
          <w:szCs w:val="21"/>
        </w:rPr>
        <w:t>em</w:t>
      </w:r>
      <w:r w:rsidRPr="00FC097B">
        <w:rPr>
          <w:rFonts w:ascii="Calibri" w:hAnsi="Calibri" w:cs="Calibri"/>
          <w:sz w:val="21"/>
          <w:szCs w:val="21"/>
        </w:rPr>
        <w:t xml:space="preserve"> cen</w:t>
      </w:r>
      <w:r w:rsidR="000B5A9A">
        <w:rPr>
          <w:rFonts w:ascii="Calibri" w:hAnsi="Calibri" w:cs="Calibri"/>
          <w:sz w:val="21"/>
          <w:szCs w:val="21"/>
        </w:rPr>
        <w:t xml:space="preserve">, </w:t>
      </w:r>
      <w:r w:rsidRPr="00FC097B">
        <w:rPr>
          <w:rFonts w:ascii="Calibri" w:hAnsi="Calibri" w:cs="Calibri"/>
          <w:sz w:val="21"/>
          <w:szCs w:val="21"/>
        </w:rPr>
        <w:t>wysok</w:t>
      </w:r>
      <w:r w:rsidR="000B5A9A">
        <w:rPr>
          <w:rFonts w:ascii="Calibri" w:hAnsi="Calibri" w:cs="Calibri"/>
          <w:sz w:val="21"/>
          <w:szCs w:val="21"/>
        </w:rPr>
        <w:t>ą</w:t>
      </w:r>
      <w:r w:rsidRPr="00FC097B">
        <w:rPr>
          <w:rFonts w:ascii="Calibri" w:hAnsi="Calibri" w:cs="Calibri"/>
          <w:sz w:val="21"/>
          <w:szCs w:val="21"/>
        </w:rPr>
        <w:t xml:space="preserve"> inflacj</w:t>
      </w:r>
      <w:r w:rsidR="000B5A9A">
        <w:rPr>
          <w:rFonts w:ascii="Calibri" w:hAnsi="Calibri" w:cs="Calibri"/>
          <w:sz w:val="21"/>
          <w:szCs w:val="21"/>
        </w:rPr>
        <w:t>ą</w:t>
      </w:r>
      <w:r w:rsidR="00725370" w:rsidRPr="00FC097B">
        <w:rPr>
          <w:rFonts w:ascii="Calibri" w:hAnsi="Calibri" w:cs="Calibri"/>
          <w:sz w:val="21"/>
          <w:szCs w:val="21"/>
        </w:rPr>
        <w:t xml:space="preserve"> czy</w:t>
      </w:r>
      <w:r w:rsidRPr="00FC097B">
        <w:rPr>
          <w:rFonts w:ascii="Calibri" w:hAnsi="Calibri" w:cs="Calibri"/>
          <w:sz w:val="21"/>
          <w:szCs w:val="21"/>
        </w:rPr>
        <w:t xml:space="preserve"> historyczny</w:t>
      </w:r>
      <w:r w:rsidR="000B5A9A">
        <w:rPr>
          <w:rFonts w:ascii="Calibri" w:hAnsi="Calibri" w:cs="Calibri"/>
          <w:sz w:val="21"/>
          <w:szCs w:val="21"/>
        </w:rPr>
        <w:t>mi</w:t>
      </w:r>
      <w:r w:rsidRPr="00FC097B">
        <w:rPr>
          <w:rFonts w:ascii="Calibri" w:hAnsi="Calibri" w:cs="Calibri"/>
          <w:sz w:val="21"/>
          <w:szCs w:val="21"/>
        </w:rPr>
        <w:t xml:space="preserve"> pozioma</w:t>
      </w:r>
      <w:r w:rsidR="000B5A9A">
        <w:rPr>
          <w:rFonts w:ascii="Calibri" w:hAnsi="Calibri" w:cs="Calibri"/>
          <w:sz w:val="21"/>
          <w:szCs w:val="21"/>
        </w:rPr>
        <w:t>mi</w:t>
      </w:r>
      <w:r w:rsidRPr="00FC097B">
        <w:rPr>
          <w:rFonts w:ascii="Calibri" w:hAnsi="Calibri" w:cs="Calibri"/>
          <w:sz w:val="21"/>
          <w:szCs w:val="21"/>
        </w:rPr>
        <w:t xml:space="preserve"> stóp procentowych</w:t>
      </w:r>
      <w:r w:rsidR="000B5A9A">
        <w:rPr>
          <w:rFonts w:ascii="Calibri" w:hAnsi="Calibri" w:cs="Calibri"/>
          <w:sz w:val="21"/>
          <w:szCs w:val="21"/>
        </w:rPr>
        <w:t>,</w:t>
      </w:r>
      <w:r w:rsidR="00725370" w:rsidRPr="00FC097B">
        <w:rPr>
          <w:rFonts w:ascii="Calibri" w:hAnsi="Calibri" w:cs="Calibri"/>
          <w:sz w:val="21"/>
          <w:szCs w:val="21"/>
        </w:rPr>
        <w:t xml:space="preserve"> odnotowaliśmy rekordowy poziom przychodów, znacząco przekraczający 60 mln złotych. Niestety </w:t>
      </w:r>
      <w:r w:rsidRPr="00FC097B">
        <w:rPr>
          <w:rFonts w:ascii="Calibri" w:hAnsi="Calibri" w:cs="Calibri"/>
          <w:sz w:val="21"/>
          <w:szCs w:val="21"/>
        </w:rPr>
        <w:t xml:space="preserve">czynniki </w:t>
      </w:r>
      <w:r w:rsidR="003014FE">
        <w:rPr>
          <w:rFonts w:ascii="Calibri" w:hAnsi="Calibri" w:cs="Calibri"/>
          <w:sz w:val="21"/>
          <w:szCs w:val="21"/>
        </w:rPr>
        <w:t xml:space="preserve">gospodarcze </w:t>
      </w:r>
      <w:r w:rsidRPr="00FC097B">
        <w:rPr>
          <w:rFonts w:ascii="Calibri" w:hAnsi="Calibri" w:cs="Calibri"/>
          <w:sz w:val="21"/>
          <w:szCs w:val="21"/>
        </w:rPr>
        <w:t>negatywnie stymulowały procentowy poziom marży brutto ze sprzedaży. Rentowność sprzedaży osiągnęła jednak bezpieczny poziom 35,3 procent w IV kwartale i 37 procent w całym 2022 roku</w:t>
      </w:r>
      <w:r w:rsidR="00725370" w:rsidRPr="00FC097B">
        <w:rPr>
          <w:rFonts w:ascii="Calibri" w:hAnsi="Calibri" w:cs="Calibri"/>
          <w:sz w:val="21"/>
          <w:szCs w:val="21"/>
        </w:rPr>
        <w:t xml:space="preserve">. Obecnie aktywnie pracujemy nad optymalizacją kosztową </w:t>
      </w:r>
      <w:r w:rsidR="0083611C">
        <w:rPr>
          <w:rFonts w:ascii="Calibri" w:hAnsi="Calibri" w:cs="Calibri"/>
          <w:sz w:val="21"/>
          <w:szCs w:val="21"/>
        </w:rPr>
        <w:br/>
      </w:r>
      <w:r w:rsidR="00725370" w:rsidRPr="00FC097B">
        <w:rPr>
          <w:rFonts w:ascii="Calibri" w:hAnsi="Calibri" w:cs="Calibri"/>
          <w:sz w:val="21"/>
          <w:szCs w:val="21"/>
        </w:rPr>
        <w:t>i podniesieniem rentowności projektów realizowanych w 2023 roku.</w:t>
      </w:r>
      <w:r w:rsidR="00FC097B">
        <w:rPr>
          <w:rFonts w:ascii="Calibri" w:hAnsi="Calibri" w:cs="Calibri"/>
          <w:sz w:val="21"/>
          <w:szCs w:val="21"/>
        </w:rPr>
        <w:t xml:space="preserve"> Szansą r</w:t>
      </w:r>
      <w:r w:rsidR="000B5A9A">
        <w:rPr>
          <w:rFonts w:ascii="Calibri" w:hAnsi="Calibri" w:cs="Calibri"/>
          <w:sz w:val="21"/>
          <w:szCs w:val="21"/>
        </w:rPr>
        <w:t>y</w:t>
      </w:r>
      <w:r w:rsidR="00FC097B">
        <w:rPr>
          <w:rFonts w:ascii="Calibri" w:hAnsi="Calibri" w:cs="Calibri"/>
          <w:sz w:val="21"/>
          <w:szCs w:val="21"/>
        </w:rPr>
        <w:t xml:space="preserve">nkową są natomiast </w:t>
      </w:r>
      <w:r w:rsidR="00FC097B" w:rsidRPr="00FC097B">
        <w:rPr>
          <w:rFonts w:ascii="Calibri" w:hAnsi="Calibri" w:cs="Calibri"/>
          <w:sz w:val="21"/>
          <w:szCs w:val="21"/>
        </w:rPr>
        <w:t>rosnące ceny energii</w:t>
      </w:r>
      <w:r w:rsidR="00FC097B">
        <w:rPr>
          <w:rFonts w:ascii="Calibri" w:hAnsi="Calibri" w:cs="Calibri"/>
          <w:sz w:val="21"/>
          <w:szCs w:val="21"/>
        </w:rPr>
        <w:t>, które</w:t>
      </w:r>
      <w:r w:rsidR="00FC097B" w:rsidRPr="00FC097B">
        <w:rPr>
          <w:rFonts w:ascii="Calibri" w:hAnsi="Calibri" w:cs="Calibri"/>
          <w:sz w:val="21"/>
          <w:szCs w:val="21"/>
        </w:rPr>
        <w:t xml:space="preserve"> </w:t>
      </w:r>
      <w:r w:rsidR="000B5A9A">
        <w:rPr>
          <w:rFonts w:ascii="Calibri" w:hAnsi="Calibri" w:cs="Calibri"/>
          <w:sz w:val="21"/>
          <w:szCs w:val="21"/>
        </w:rPr>
        <w:t>zwiększają</w:t>
      </w:r>
      <w:r w:rsidR="00FC097B">
        <w:rPr>
          <w:rFonts w:ascii="Calibri" w:hAnsi="Calibri" w:cs="Calibri"/>
          <w:sz w:val="21"/>
          <w:szCs w:val="21"/>
        </w:rPr>
        <w:t xml:space="preserve"> </w:t>
      </w:r>
      <w:r w:rsidR="00FC097B" w:rsidRPr="00FC097B">
        <w:rPr>
          <w:rFonts w:ascii="Calibri" w:hAnsi="Calibri" w:cs="Calibri"/>
          <w:sz w:val="21"/>
          <w:szCs w:val="21"/>
        </w:rPr>
        <w:t>popyt na nasze produkty</w:t>
      </w:r>
      <w:r w:rsidR="00FC097B">
        <w:rPr>
          <w:rFonts w:ascii="Calibri" w:hAnsi="Calibri" w:cs="Calibri"/>
          <w:sz w:val="21"/>
          <w:szCs w:val="21"/>
        </w:rPr>
        <w:t xml:space="preserve"> </w:t>
      </w:r>
      <w:r w:rsidR="008C69A2" w:rsidRPr="005F0D4B">
        <w:rPr>
          <w:rFonts w:asciiTheme="minorHAnsi" w:hAnsiTheme="minorHAnsi" w:cstheme="minorHAnsi"/>
        </w:rPr>
        <w:t xml:space="preserve">- </w:t>
      </w:r>
      <w:r w:rsidR="008C69A2" w:rsidRPr="005F0D4B">
        <w:rPr>
          <w:rFonts w:asciiTheme="minorHAnsi" w:hAnsiTheme="minorHAnsi" w:cstheme="minorHAnsi"/>
          <w:b/>
          <w:bCs/>
          <w:sz w:val="20"/>
          <w:szCs w:val="20"/>
        </w:rPr>
        <w:t xml:space="preserve">podkreśla Ryszard Wtorkowski, </w:t>
      </w:r>
      <w:r w:rsidR="0083611C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8C69A2" w:rsidRPr="005F0D4B">
        <w:rPr>
          <w:rFonts w:asciiTheme="minorHAnsi" w:hAnsiTheme="minorHAnsi" w:cstheme="minorHAnsi"/>
          <w:b/>
          <w:bCs/>
          <w:sz w:val="20"/>
          <w:szCs w:val="20"/>
        </w:rPr>
        <w:t>Prezes Zarządu LUG S.A.</w:t>
      </w:r>
    </w:p>
    <w:p w14:paraId="199D9D44" w14:textId="0032F162" w:rsidR="008C69A2" w:rsidRPr="00357D55" w:rsidRDefault="008C69A2" w:rsidP="008C69A2">
      <w:pPr>
        <w:jc w:val="both"/>
        <w:rPr>
          <w:rFonts w:asciiTheme="minorHAnsi" w:hAnsiTheme="minorHAnsi" w:cstheme="minorHAnsi"/>
          <w:color w:val="C00000"/>
          <w:sz w:val="21"/>
          <w:szCs w:val="21"/>
        </w:rPr>
      </w:pPr>
    </w:p>
    <w:p w14:paraId="1448677B" w14:textId="40E41BC0" w:rsidR="00357D55" w:rsidRPr="00357D55" w:rsidRDefault="00357D55" w:rsidP="00357D55">
      <w:pPr>
        <w:jc w:val="both"/>
        <w:rPr>
          <w:rFonts w:ascii="Calibri" w:hAnsi="Calibri" w:cs="Calibri"/>
          <w:sz w:val="21"/>
          <w:szCs w:val="21"/>
        </w:rPr>
      </w:pPr>
      <w:r w:rsidRPr="00357D55">
        <w:rPr>
          <w:rFonts w:ascii="Calibri" w:hAnsi="Calibri" w:cs="Calibri"/>
          <w:sz w:val="21"/>
          <w:szCs w:val="21"/>
        </w:rPr>
        <w:t xml:space="preserve">Skonsolidowane przychody Grupy Kapitałowej LUG S.A. w IV kw. 2022 r. wyniosły 63,50 mln zł i były </w:t>
      </w:r>
      <w:r w:rsidR="0083611C">
        <w:rPr>
          <w:rFonts w:ascii="Calibri" w:hAnsi="Calibri" w:cs="Calibri"/>
          <w:sz w:val="21"/>
          <w:szCs w:val="21"/>
        </w:rPr>
        <w:br/>
      </w:r>
      <w:r w:rsidRPr="00357D55">
        <w:rPr>
          <w:rFonts w:ascii="Calibri" w:hAnsi="Calibri" w:cs="Calibri"/>
          <w:sz w:val="21"/>
          <w:szCs w:val="21"/>
        </w:rPr>
        <w:t xml:space="preserve">o 5,6 </w:t>
      </w:r>
      <w:r w:rsidRPr="00357D55">
        <w:rPr>
          <w:rFonts w:ascii="Calibri" w:eastAsia="Arial" w:hAnsi="Calibri" w:cs="Calibri"/>
          <w:color w:val="000000"/>
          <w:sz w:val="21"/>
          <w:szCs w:val="21"/>
        </w:rPr>
        <w:t>procent</w:t>
      </w:r>
      <w:r w:rsidRPr="00357D55">
        <w:rPr>
          <w:rFonts w:ascii="Calibri" w:hAnsi="Calibri" w:cs="Calibri"/>
          <w:sz w:val="21"/>
          <w:szCs w:val="21"/>
        </w:rPr>
        <w:t xml:space="preserve"> wyższe niż rok wcześniej oraz o 9 </w:t>
      </w:r>
      <w:r w:rsidRPr="00357D55">
        <w:rPr>
          <w:rFonts w:ascii="Calibri" w:eastAsia="Arial" w:hAnsi="Calibri" w:cs="Calibri"/>
          <w:color w:val="000000"/>
          <w:sz w:val="21"/>
          <w:szCs w:val="21"/>
        </w:rPr>
        <w:t>procent</w:t>
      </w:r>
      <w:r w:rsidRPr="00357D55">
        <w:rPr>
          <w:rFonts w:ascii="Calibri" w:hAnsi="Calibri" w:cs="Calibri"/>
          <w:sz w:val="21"/>
          <w:szCs w:val="21"/>
        </w:rPr>
        <w:t xml:space="preserve"> wyższe niż w poprzednim kwartale. Rekordowy kwartalny poziom przychodów to </w:t>
      </w:r>
      <w:r w:rsidRPr="00357D55">
        <w:rPr>
          <w:rFonts w:asciiTheme="minorHAnsi" w:hAnsiTheme="minorHAnsi" w:cstheme="minorHAnsi"/>
          <w:color w:val="000000" w:themeColor="text1"/>
          <w:sz w:val="21"/>
          <w:szCs w:val="21"/>
        </w:rPr>
        <w:t>m.in. efekt finalizacji kontraktów realizowanych dla jednostek samorządu terytorialnego, które kończone są w ostatniej fazie roku kalendarzowego</w:t>
      </w:r>
      <w:r w:rsidR="003014F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  <w:r w:rsidR="003014FE" w:rsidRPr="003014F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357D55">
        <w:rPr>
          <w:rFonts w:ascii="Calibri" w:hAnsi="Calibri" w:cs="Calibri"/>
          <w:sz w:val="21"/>
          <w:szCs w:val="21"/>
        </w:rPr>
        <w:t>W ujęciu czterech ostatnich kwartałów przychody wzrosły o 16,9</w:t>
      </w:r>
      <w:r w:rsidRPr="00357D55">
        <w:rPr>
          <w:rFonts w:ascii="Calibri" w:eastAsia="Arial" w:hAnsi="Calibri" w:cs="Calibri"/>
          <w:color w:val="000000"/>
          <w:sz w:val="21"/>
          <w:szCs w:val="21"/>
        </w:rPr>
        <w:t xml:space="preserve"> procent,</w:t>
      </w:r>
      <w:r w:rsidRPr="00357D55">
        <w:rPr>
          <w:rFonts w:ascii="Calibri" w:hAnsi="Calibri" w:cs="Calibri"/>
          <w:sz w:val="21"/>
          <w:szCs w:val="21"/>
        </w:rPr>
        <w:t xml:space="preserve"> do rekordowego poziomu 238,47 mln zł. </w:t>
      </w:r>
    </w:p>
    <w:p w14:paraId="38B69B8C" w14:textId="77777777" w:rsidR="00357D55" w:rsidRDefault="00357D55" w:rsidP="00357D55">
      <w:pPr>
        <w:jc w:val="both"/>
        <w:rPr>
          <w:rFonts w:ascii="Calibri" w:hAnsi="Calibri" w:cs="Calibri"/>
          <w:sz w:val="22"/>
          <w:szCs w:val="22"/>
        </w:rPr>
      </w:pPr>
    </w:p>
    <w:p w14:paraId="507A16BC" w14:textId="24A86244" w:rsidR="00357D55" w:rsidRPr="00357D55" w:rsidRDefault="00357D55" w:rsidP="00357D55">
      <w:pPr>
        <w:jc w:val="both"/>
        <w:rPr>
          <w:rFonts w:ascii="Calibri" w:eastAsia="Arial" w:hAnsi="Calibri" w:cs="Calibri"/>
          <w:color w:val="000000"/>
          <w:sz w:val="21"/>
          <w:szCs w:val="21"/>
        </w:rPr>
      </w:pPr>
      <w:r w:rsidRPr="00D10D21">
        <w:rPr>
          <w:rFonts w:ascii="Calibri" w:eastAsia="Arial" w:hAnsi="Calibri" w:cs="Calibri"/>
          <w:color w:val="000000"/>
          <w:sz w:val="21"/>
          <w:szCs w:val="21"/>
        </w:rPr>
        <w:t>Czwarty kwartał</w:t>
      </w:r>
      <w:r w:rsidRPr="00357D55">
        <w:rPr>
          <w:rFonts w:ascii="Calibri" w:eastAsia="Arial" w:hAnsi="Calibri" w:cs="Calibri"/>
          <w:color w:val="000000"/>
          <w:sz w:val="21"/>
          <w:szCs w:val="21"/>
        </w:rPr>
        <w:t xml:space="preserve"> charakteryzował się również wyrównanym poziomem przychodów z eksportu i sprzedaży krajowej. Znaczący udział w przychodach krajowych </w:t>
      </w:r>
      <w:r w:rsidR="00D10D21">
        <w:rPr>
          <w:rFonts w:ascii="Calibri" w:eastAsia="Arial" w:hAnsi="Calibri" w:cs="Calibri"/>
          <w:color w:val="000000"/>
          <w:sz w:val="21"/>
          <w:szCs w:val="21"/>
        </w:rPr>
        <w:t xml:space="preserve">w IV kwartale </w:t>
      </w:r>
      <w:r w:rsidRPr="00357D55">
        <w:rPr>
          <w:rFonts w:ascii="Calibri" w:eastAsia="Arial" w:hAnsi="Calibri" w:cs="Calibri"/>
          <w:color w:val="000000"/>
          <w:sz w:val="21"/>
          <w:szCs w:val="21"/>
        </w:rPr>
        <w:t>miał</w:t>
      </w:r>
      <w:r w:rsidRPr="00D10D21">
        <w:rPr>
          <w:rFonts w:ascii="Calibri" w:eastAsia="Arial" w:hAnsi="Calibri" w:cs="Calibri"/>
          <w:color w:val="000000"/>
          <w:sz w:val="21"/>
          <w:szCs w:val="21"/>
        </w:rPr>
        <w:t xml:space="preserve"> kontrakt modernizacji oświetlenia Miasta Stołecznego Warszawa</w:t>
      </w:r>
      <w:r w:rsidR="00D10D21" w:rsidRPr="00D10D21">
        <w:rPr>
          <w:rFonts w:ascii="Calibri" w:eastAsia="Arial" w:hAnsi="Calibri" w:cs="Calibri"/>
          <w:color w:val="000000"/>
          <w:sz w:val="21"/>
          <w:szCs w:val="21"/>
        </w:rPr>
        <w:t xml:space="preserve">. Przychody z tego projektu w analizowanym okresie </w:t>
      </w:r>
      <w:r w:rsidRPr="00D10D21">
        <w:rPr>
          <w:rFonts w:ascii="Calibri" w:eastAsia="Arial" w:hAnsi="Calibri" w:cs="Calibri"/>
          <w:color w:val="000000"/>
          <w:sz w:val="21"/>
          <w:szCs w:val="21"/>
        </w:rPr>
        <w:t xml:space="preserve">wyniosły 11,03 mln zł, </w:t>
      </w:r>
      <w:r w:rsidR="0083611C">
        <w:rPr>
          <w:rFonts w:ascii="Calibri" w:eastAsia="Arial" w:hAnsi="Calibri" w:cs="Calibri"/>
          <w:color w:val="000000"/>
          <w:sz w:val="21"/>
          <w:szCs w:val="21"/>
        </w:rPr>
        <w:br/>
      </w:r>
      <w:r w:rsidRPr="00D10D21">
        <w:rPr>
          <w:rFonts w:ascii="Calibri" w:eastAsia="Arial" w:hAnsi="Calibri" w:cs="Calibri"/>
          <w:color w:val="000000"/>
          <w:sz w:val="21"/>
          <w:szCs w:val="21"/>
        </w:rPr>
        <w:t>a narastająco w całym 2022 roku – 22,49 mln zł</w:t>
      </w:r>
      <w:r w:rsidR="00D10D21" w:rsidRPr="00D10D21">
        <w:rPr>
          <w:rFonts w:ascii="Calibri" w:eastAsia="Arial" w:hAnsi="Calibri" w:cs="Calibri"/>
          <w:color w:val="000000"/>
          <w:sz w:val="21"/>
          <w:szCs w:val="21"/>
        </w:rPr>
        <w:t xml:space="preserve">. </w:t>
      </w:r>
      <w:r w:rsidR="00D10D21">
        <w:rPr>
          <w:rFonts w:ascii="Calibri" w:eastAsia="Arial" w:hAnsi="Calibri" w:cs="Calibri"/>
          <w:color w:val="000000"/>
          <w:sz w:val="21"/>
          <w:szCs w:val="21"/>
        </w:rPr>
        <w:t>D</w:t>
      </w:r>
      <w:r w:rsidRPr="00357D55">
        <w:rPr>
          <w:rFonts w:ascii="Calibri" w:eastAsia="Arial" w:hAnsi="Calibri" w:cs="Calibri"/>
          <w:color w:val="000000"/>
          <w:sz w:val="21"/>
          <w:szCs w:val="21"/>
        </w:rPr>
        <w:t xml:space="preserve">odatnią dynamikę przychodów krajowych pozytywnie stymulowały inne kontrakty modernizacji oświetlenia infrastrukturalnego dla jednostek samorządu </w:t>
      </w:r>
      <w:r w:rsidRPr="00357D55">
        <w:rPr>
          <w:rFonts w:ascii="Calibri" w:eastAsia="Arial" w:hAnsi="Calibri" w:cs="Calibri"/>
          <w:color w:val="000000"/>
          <w:sz w:val="21"/>
          <w:szCs w:val="21"/>
        </w:rPr>
        <w:lastRenderedPageBreak/>
        <w:t xml:space="preserve">terytorialnego oraz przychody ze świadczonych usług budowlanych powiązanych z wybranymi kontraktami. Wpływy z eksportu w samym IV kwartale 2022 roku wyniosły 30,1 mln zł, osiągając pułap 47,4 procent. </w:t>
      </w:r>
      <w:r w:rsidR="0083611C">
        <w:rPr>
          <w:rFonts w:ascii="Calibri" w:eastAsia="Arial" w:hAnsi="Calibri" w:cs="Calibri"/>
          <w:color w:val="000000"/>
          <w:sz w:val="21"/>
          <w:szCs w:val="21"/>
        </w:rPr>
        <w:br/>
      </w:r>
      <w:r w:rsidRPr="00357D55">
        <w:rPr>
          <w:rFonts w:ascii="Calibri" w:eastAsia="Arial" w:hAnsi="Calibri" w:cs="Calibri"/>
          <w:color w:val="000000"/>
          <w:sz w:val="21"/>
          <w:szCs w:val="21"/>
        </w:rPr>
        <w:t xml:space="preserve">W ujęciu czterech ostatnich kwartałów przychody z eksportu </w:t>
      </w:r>
      <w:r w:rsidR="003014FE">
        <w:rPr>
          <w:rFonts w:ascii="Calibri" w:eastAsia="Arial" w:hAnsi="Calibri" w:cs="Calibri"/>
          <w:color w:val="000000"/>
          <w:sz w:val="21"/>
          <w:szCs w:val="21"/>
        </w:rPr>
        <w:t>wzrosły r/r o 6 procent i osiągnęły poziom</w:t>
      </w:r>
      <w:r w:rsidRPr="00357D55">
        <w:rPr>
          <w:rFonts w:ascii="Calibri" w:eastAsia="Arial" w:hAnsi="Calibri" w:cs="Calibri"/>
          <w:color w:val="000000"/>
          <w:sz w:val="21"/>
          <w:szCs w:val="21"/>
        </w:rPr>
        <w:t xml:space="preserve"> </w:t>
      </w:r>
      <w:r w:rsidR="0083611C">
        <w:rPr>
          <w:rFonts w:ascii="Calibri" w:eastAsia="Arial" w:hAnsi="Calibri" w:cs="Calibri"/>
          <w:color w:val="000000"/>
          <w:sz w:val="21"/>
          <w:szCs w:val="21"/>
        </w:rPr>
        <w:br/>
      </w:r>
      <w:r w:rsidRPr="00357D55">
        <w:rPr>
          <w:rFonts w:ascii="Calibri" w:eastAsia="Arial" w:hAnsi="Calibri" w:cs="Calibri"/>
          <w:color w:val="000000"/>
          <w:sz w:val="21"/>
          <w:szCs w:val="21"/>
        </w:rPr>
        <w:t>129,95 mln zł, co przełożyło się na 54,5</w:t>
      </w:r>
      <w:r w:rsidR="00D10D21">
        <w:rPr>
          <w:rFonts w:ascii="Calibri" w:eastAsia="Arial" w:hAnsi="Calibri" w:cs="Calibri"/>
          <w:color w:val="000000"/>
          <w:sz w:val="21"/>
          <w:szCs w:val="21"/>
        </w:rPr>
        <w:t xml:space="preserve"> procentowy </w:t>
      </w:r>
      <w:r w:rsidRPr="00357D55">
        <w:rPr>
          <w:rFonts w:ascii="Calibri" w:eastAsia="Arial" w:hAnsi="Calibri" w:cs="Calibri"/>
          <w:color w:val="000000"/>
          <w:sz w:val="21"/>
          <w:szCs w:val="21"/>
        </w:rPr>
        <w:t>udział sprzedaży zagranicznej w całkowitych przychodach ze sprzedaży zrealizowanych w minionym roku.</w:t>
      </w:r>
    </w:p>
    <w:p w14:paraId="6A6A9304" w14:textId="77777777" w:rsidR="00357D55" w:rsidRPr="0049039A" w:rsidRDefault="00357D55" w:rsidP="00357D55">
      <w:pPr>
        <w:jc w:val="both"/>
        <w:rPr>
          <w:rFonts w:ascii="Calibri" w:hAnsi="Calibri" w:cs="Calibri"/>
          <w:sz w:val="22"/>
          <w:szCs w:val="22"/>
        </w:rPr>
      </w:pPr>
    </w:p>
    <w:p w14:paraId="3128F72B" w14:textId="6ACE8C30" w:rsidR="007904FA" w:rsidRPr="007904FA" w:rsidRDefault="007904FA" w:rsidP="007904FA">
      <w:pPr>
        <w:jc w:val="both"/>
        <w:rPr>
          <w:rFonts w:ascii="Calibri" w:eastAsia="Arial" w:hAnsi="Calibri" w:cs="Calibri"/>
          <w:color w:val="000000"/>
          <w:sz w:val="21"/>
          <w:szCs w:val="21"/>
        </w:rPr>
      </w:pPr>
      <w:r w:rsidRPr="007904FA">
        <w:rPr>
          <w:rFonts w:ascii="Calibri" w:eastAsia="Arial" w:hAnsi="Calibri" w:cs="Calibri"/>
          <w:color w:val="000000"/>
          <w:sz w:val="21"/>
          <w:szCs w:val="21"/>
        </w:rPr>
        <w:t>Wynik</w:t>
      </w:r>
      <w:r w:rsidR="00D10D21" w:rsidRPr="007904FA">
        <w:rPr>
          <w:rFonts w:ascii="Calibri" w:eastAsia="Arial" w:hAnsi="Calibri" w:cs="Calibri"/>
          <w:color w:val="000000"/>
          <w:sz w:val="21"/>
          <w:szCs w:val="21"/>
        </w:rPr>
        <w:t xml:space="preserve"> </w:t>
      </w:r>
      <w:r w:rsidR="00357D55" w:rsidRPr="007904FA">
        <w:rPr>
          <w:rFonts w:ascii="Calibri" w:eastAsia="Arial" w:hAnsi="Calibri" w:cs="Calibri"/>
          <w:color w:val="000000"/>
          <w:sz w:val="21"/>
          <w:szCs w:val="21"/>
        </w:rPr>
        <w:t>EBITDA</w:t>
      </w:r>
      <w:r w:rsidR="00D10D21" w:rsidRPr="007904FA">
        <w:rPr>
          <w:rFonts w:ascii="Calibri" w:eastAsia="Arial" w:hAnsi="Calibri" w:cs="Calibri"/>
          <w:color w:val="000000"/>
          <w:sz w:val="21"/>
          <w:szCs w:val="21"/>
        </w:rPr>
        <w:t xml:space="preserve"> </w:t>
      </w:r>
      <w:r w:rsidR="00357D55" w:rsidRPr="007904FA">
        <w:rPr>
          <w:rFonts w:ascii="Calibri" w:eastAsia="Arial" w:hAnsi="Calibri" w:cs="Calibri"/>
          <w:color w:val="000000"/>
          <w:sz w:val="21"/>
          <w:szCs w:val="21"/>
        </w:rPr>
        <w:t xml:space="preserve">wzrósł </w:t>
      </w:r>
      <w:r w:rsidR="003014FE">
        <w:rPr>
          <w:rFonts w:ascii="Calibri" w:eastAsia="Arial" w:hAnsi="Calibri" w:cs="Calibri"/>
          <w:color w:val="000000"/>
          <w:sz w:val="21"/>
          <w:szCs w:val="21"/>
        </w:rPr>
        <w:t xml:space="preserve">w IV kw. </w:t>
      </w:r>
      <w:r w:rsidR="00357D55" w:rsidRPr="007904FA">
        <w:rPr>
          <w:rFonts w:ascii="Calibri" w:eastAsia="Arial" w:hAnsi="Calibri" w:cs="Calibri"/>
          <w:color w:val="000000"/>
          <w:sz w:val="21"/>
          <w:szCs w:val="21"/>
        </w:rPr>
        <w:t xml:space="preserve">o 5,4 procent do poziomu 3,29 mln zł, natomiast za 12 miesięcy roku jego wzrost wyniósł 32,5 procent i ukształtował się na poziomie 19,34 mln zł. </w:t>
      </w:r>
      <w:r w:rsidRPr="007904FA">
        <w:rPr>
          <w:rFonts w:ascii="Calibri" w:eastAsia="Arial" w:hAnsi="Calibri" w:cs="Calibri"/>
          <w:color w:val="000000"/>
          <w:sz w:val="21"/>
          <w:szCs w:val="21"/>
        </w:rPr>
        <w:t xml:space="preserve">Marża EBITDA </w:t>
      </w:r>
      <w:r w:rsidR="003014FE">
        <w:rPr>
          <w:rFonts w:ascii="Calibri" w:eastAsia="Arial" w:hAnsi="Calibri" w:cs="Calibri"/>
          <w:color w:val="000000"/>
          <w:sz w:val="21"/>
          <w:szCs w:val="21"/>
        </w:rPr>
        <w:t xml:space="preserve">narastająco </w:t>
      </w:r>
      <w:r w:rsidRPr="007904FA">
        <w:rPr>
          <w:rFonts w:ascii="Calibri" w:eastAsia="Arial" w:hAnsi="Calibri" w:cs="Calibri"/>
          <w:color w:val="000000"/>
          <w:sz w:val="21"/>
          <w:szCs w:val="21"/>
        </w:rPr>
        <w:t xml:space="preserve">wyniosła </w:t>
      </w:r>
      <w:r w:rsidR="003014FE">
        <w:rPr>
          <w:rFonts w:ascii="Calibri" w:eastAsia="Arial" w:hAnsi="Calibri" w:cs="Calibri"/>
          <w:color w:val="000000"/>
          <w:sz w:val="21"/>
          <w:szCs w:val="21"/>
        </w:rPr>
        <w:t>8,1</w:t>
      </w:r>
      <w:r w:rsidRPr="007904FA">
        <w:rPr>
          <w:rFonts w:ascii="Calibri" w:eastAsia="Arial" w:hAnsi="Calibri" w:cs="Calibri"/>
          <w:color w:val="000000"/>
          <w:sz w:val="21"/>
          <w:szCs w:val="21"/>
        </w:rPr>
        <w:t xml:space="preserve">%, </w:t>
      </w:r>
      <w:r w:rsidR="0083611C">
        <w:rPr>
          <w:rFonts w:ascii="Calibri" w:eastAsia="Arial" w:hAnsi="Calibri" w:cs="Calibri"/>
          <w:color w:val="000000"/>
          <w:sz w:val="21"/>
          <w:szCs w:val="21"/>
        </w:rPr>
        <w:br/>
      </w:r>
      <w:r w:rsidRPr="007904FA">
        <w:rPr>
          <w:rFonts w:ascii="Calibri" w:eastAsia="Arial" w:hAnsi="Calibri" w:cs="Calibri"/>
          <w:color w:val="000000"/>
          <w:sz w:val="21"/>
          <w:szCs w:val="21"/>
        </w:rPr>
        <w:t xml:space="preserve">o </w:t>
      </w:r>
      <w:r w:rsidR="003014FE">
        <w:rPr>
          <w:rFonts w:ascii="Calibri" w:eastAsia="Arial" w:hAnsi="Calibri" w:cs="Calibri"/>
          <w:color w:val="000000"/>
          <w:sz w:val="21"/>
          <w:szCs w:val="21"/>
        </w:rPr>
        <w:t>1,0</w:t>
      </w:r>
      <w:r w:rsidRPr="007904FA">
        <w:rPr>
          <w:rFonts w:ascii="Calibri" w:eastAsia="Arial" w:hAnsi="Calibri" w:cs="Calibri"/>
          <w:color w:val="000000"/>
          <w:sz w:val="21"/>
          <w:szCs w:val="21"/>
        </w:rPr>
        <w:t xml:space="preserve"> </w:t>
      </w:r>
      <w:proofErr w:type="spellStart"/>
      <w:r w:rsidRPr="007904FA">
        <w:rPr>
          <w:rFonts w:ascii="Calibri" w:eastAsia="Arial" w:hAnsi="Calibri" w:cs="Calibri"/>
          <w:color w:val="000000"/>
          <w:sz w:val="21"/>
          <w:szCs w:val="21"/>
        </w:rPr>
        <w:t>p.p</w:t>
      </w:r>
      <w:proofErr w:type="spellEnd"/>
      <w:r w:rsidRPr="007904FA">
        <w:rPr>
          <w:rFonts w:ascii="Calibri" w:eastAsia="Arial" w:hAnsi="Calibri" w:cs="Calibri"/>
          <w:color w:val="000000"/>
          <w:sz w:val="21"/>
          <w:szCs w:val="21"/>
        </w:rPr>
        <w:t xml:space="preserve">. </w:t>
      </w:r>
      <w:r w:rsidR="003014FE">
        <w:rPr>
          <w:rFonts w:ascii="Calibri" w:eastAsia="Arial" w:hAnsi="Calibri" w:cs="Calibri"/>
          <w:color w:val="000000"/>
          <w:sz w:val="21"/>
          <w:szCs w:val="21"/>
        </w:rPr>
        <w:t>więcej</w:t>
      </w:r>
      <w:r w:rsidRPr="007904FA">
        <w:rPr>
          <w:rFonts w:ascii="Calibri" w:eastAsia="Arial" w:hAnsi="Calibri" w:cs="Calibri"/>
          <w:color w:val="000000"/>
          <w:sz w:val="21"/>
          <w:szCs w:val="21"/>
        </w:rPr>
        <w:t xml:space="preserve"> niż w </w:t>
      </w:r>
      <w:r w:rsidR="003014FE">
        <w:rPr>
          <w:rFonts w:ascii="Calibri" w:eastAsia="Arial" w:hAnsi="Calibri" w:cs="Calibri"/>
          <w:color w:val="000000"/>
          <w:sz w:val="21"/>
          <w:szCs w:val="21"/>
        </w:rPr>
        <w:t>roku poprzednim</w:t>
      </w:r>
      <w:r w:rsidRPr="007904FA">
        <w:rPr>
          <w:rFonts w:ascii="Calibri" w:eastAsia="Arial" w:hAnsi="Calibri" w:cs="Calibri"/>
          <w:color w:val="000000"/>
          <w:sz w:val="21"/>
          <w:szCs w:val="21"/>
        </w:rPr>
        <w:t>.</w:t>
      </w:r>
      <w:r w:rsidR="003014FE">
        <w:rPr>
          <w:rFonts w:ascii="Calibri" w:eastAsia="Arial" w:hAnsi="Calibri" w:cs="Calibri"/>
          <w:color w:val="000000"/>
          <w:sz w:val="21"/>
          <w:szCs w:val="21"/>
        </w:rPr>
        <w:t xml:space="preserve"> W odniesieniu do samego IV kwartału rentowność EBITDA r/r pozostała bez zmian na poziomie 5,2 procent.</w:t>
      </w:r>
    </w:p>
    <w:p w14:paraId="303E5906" w14:textId="77777777" w:rsidR="00AA0C9B" w:rsidRPr="007904FA" w:rsidRDefault="00AA0C9B" w:rsidP="00AA0C9B">
      <w:pPr>
        <w:jc w:val="both"/>
        <w:rPr>
          <w:rFonts w:ascii="Calibri" w:eastAsia="Arial" w:hAnsi="Calibri" w:cs="Calibri"/>
          <w:color w:val="000000"/>
          <w:sz w:val="21"/>
          <w:szCs w:val="21"/>
        </w:rPr>
      </w:pPr>
    </w:p>
    <w:p w14:paraId="10A264AB" w14:textId="4EE76FB9" w:rsidR="008C69A2" w:rsidRDefault="008C69A2" w:rsidP="008C69A2">
      <w:pPr>
        <w:jc w:val="both"/>
        <w:rPr>
          <w:rFonts w:ascii="Calibri" w:eastAsia="Arial" w:hAnsi="Calibri" w:cs="Calibri"/>
          <w:color w:val="000000"/>
          <w:sz w:val="21"/>
          <w:szCs w:val="21"/>
        </w:rPr>
      </w:pPr>
      <w:r w:rsidRPr="007904FA">
        <w:rPr>
          <w:rFonts w:ascii="Calibri" w:eastAsia="Arial" w:hAnsi="Calibri" w:cs="Calibri"/>
          <w:color w:val="000000"/>
          <w:sz w:val="21"/>
          <w:szCs w:val="21"/>
        </w:rPr>
        <w:t>Zysk operacyjny Grupy LUG w IV kwartale 202</w:t>
      </w:r>
      <w:r w:rsidR="00D10D21" w:rsidRPr="007904FA">
        <w:rPr>
          <w:rFonts w:ascii="Calibri" w:eastAsia="Arial" w:hAnsi="Calibri" w:cs="Calibri"/>
          <w:color w:val="000000"/>
          <w:sz w:val="21"/>
          <w:szCs w:val="21"/>
        </w:rPr>
        <w:t>2</w:t>
      </w:r>
      <w:r w:rsidRPr="007904FA">
        <w:rPr>
          <w:rFonts w:ascii="Calibri" w:eastAsia="Arial" w:hAnsi="Calibri" w:cs="Calibri"/>
          <w:color w:val="000000"/>
          <w:sz w:val="21"/>
          <w:szCs w:val="21"/>
        </w:rPr>
        <w:t xml:space="preserve"> roku wyniósł </w:t>
      </w:r>
      <w:r w:rsidR="007904FA" w:rsidRPr="007904FA">
        <w:rPr>
          <w:rFonts w:ascii="Calibri" w:eastAsia="Arial" w:hAnsi="Calibri" w:cs="Calibri"/>
          <w:color w:val="000000"/>
          <w:sz w:val="21"/>
          <w:szCs w:val="21"/>
        </w:rPr>
        <w:t>0,72</w:t>
      </w:r>
      <w:r w:rsidRPr="007904FA">
        <w:rPr>
          <w:rFonts w:ascii="Calibri" w:eastAsia="Arial" w:hAnsi="Calibri" w:cs="Calibri"/>
          <w:color w:val="000000"/>
          <w:sz w:val="21"/>
          <w:szCs w:val="21"/>
        </w:rPr>
        <w:t xml:space="preserve"> mln zł w stosunku do </w:t>
      </w:r>
      <w:r w:rsidR="00850AEE">
        <w:rPr>
          <w:rFonts w:ascii="Calibri" w:eastAsia="Arial" w:hAnsi="Calibri" w:cs="Calibri"/>
          <w:color w:val="000000"/>
          <w:sz w:val="21"/>
          <w:szCs w:val="21"/>
        </w:rPr>
        <w:t>0,20</w:t>
      </w:r>
      <w:r w:rsidRPr="007904FA">
        <w:rPr>
          <w:rFonts w:ascii="Calibri" w:eastAsia="Arial" w:hAnsi="Calibri" w:cs="Calibri"/>
          <w:color w:val="000000"/>
          <w:sz w:val="21"/>
          <w:szCs w:val="21"/>
        </w:rPr>
        <w:t xml:space="preserve"> mln zł </w:t>
      </w:r>
      <w:r w:rsidRPr="007904FA">
        <w:rPr>
          <w:rFonts w:ascii="Calibri" w:eastAsia="Arial" w:hAnsi="Calibri" w:cs="Calibri"/>
          <w:color w:val="000000"/>
          <w:sz w:val="21"/>
          <w:szCs w:val="21"/>
        </w:rPr>
        <w:br/>
        <w:t>w IV kwartale 202</w:t>
      </w:r>
      <w:r w:rsidR="00D10D21" w:rsidRPr="007904FA">
        <w:rPr>
          <w:rFonts w:ascii="Calibri" w:eastAsia="Arial" w:hAnsi="Calibri" w:cs="Calibri"/>
          <w:color w:val="000000"/>
          <w:sz w:val="21"/>
          <w:szCs w:val="21"/>
        </w:rPr>
        <w:t>1</w:t>
      </w:r>
      <w:r w:rsidRPr="007904FA">
        <w:rPr>
          <w:rFonts w:ascii="Calibri" w:eastAsia="Arial" w:hAnsi="Calibri" w:cs="Calibri"/>
          <w:color w:val="000000"/>
          <w:sz w:val="21"/>
          <w:szCs w:val="21"/>
        </w:rPr>
        <w:t xml:space="preserve"> roku</w:t>
      </w:r>
      <w:r w:rsidR="00850AEE">
        <w:rPr>
          <w:rFonts w:ascii="Calibri" w:eastAsia="Arial" w:hAnsi="Calibri" w:cs="Calibri"/>
          <w:color w:val="000000"/>
          <w:sz w:val="21"/>
          <w:szCs w:val="21"/>
        </w:rPr>
        <w:t xml:space="preserve">. </w:t>
      </w:r>
      <w:r w:rsidRPr="007904FA">
        <w:rPr>
          <w:rFonts w:ascii="Calibri" w:eastAsia="Arial" w:hAnsi="Calibri" w:cs="Calibri"/>
          <w:color w:val="000000"/>
          <w:sz w:val="21"/>
          <w:szCs w:val="21"/>
        </w:rPr>
        <w:t xml:space="preserve"> Narastająco, na przestrzeni czterech kwartałów 202</w:t>
      </w:r>
      <w:r w:rsidR="00D10D21" w:rsidRPr="007904FA">
        <w:rPr>
          <w:rFonts w:ascii="Calibri" w:eastAsia="Arial" w:hAnsi="Calibri" w:cs="Calibri"/>
          <w:color w:val="000000"/>
          <w:sz w:val="21"/>
          <w:szCs w:val="21"/>
        </w:rPr>
        <w:t>2</w:t>
      </w:r>
      <w:r w:rsidRPr="007904FA">
        <w:rPr>
          <w:rFonts w:ascii="Calibri" w:eastAsia="Arial" w:hAnsi="Calibri" w:cs="Calibri"/>
          <w:color w:val="000000"/>
          <w:sz w:val="21"/>
          <w:szCs w:val="21"/>
        </w:rPr>
        <w:t xml:space="preserve"> roku, wynik operacyjny wyniósł </w:t>
      </w:r>
      <w:r w:rsidR="007904FA" w:rsidRPr="007904FA">
        <w:rPr>
          <w:rFonts w:ascii="Calibri" w:eastAsia="Arial" w:hAnsi="Calibri" w:cs="Calibri"/>
          <w:color w:val="000000"/>
          <w:sz w:val="21"/>
          <w:szCs w:val="21"/>
        </w:rPr>
        <w:t>8,21 mln zł, czyli był o 88,</w:t>
      </w:r>
      <w:r w:rsidR="007904FA">
        <w:rPr>
          <w:rFonts w:ascii="Calibri" w:eastAsia="Arial" w:hAnsi="Calibri" w:cs="Calibri"/>
          <w:color w:val="000000"/>
          <w:sz w:val="21"/>
          <w:szCs w:val="21"/>
        </w:rPr>
        <w:t>7 procent</w:t>
      </w:r>
      <w:r w:rsidR="007904FA" w:rsidRPr="007904FA">
        <w:rPr>
          <w:rFonts w:ascii="Calibri" w:eastAsia="Arial" w:hAnsi="Calibri" w:cs="Calibri"/>
          <w:color w:val="000000"/>
          <w:sz w:val="21"/>
          <w:szCs w:val="21"/>
        </w:rPr>
        <w:t xml:space="preserve"> wyższy niż w </w:t>
      </w:r>
      <w:proofErr w:type="spellStart"/>
      <w:r w:rsidR="003014FE">
        <w:rPr>
          <w:rFonts w:ascii="Calibri" w:eastAsia="Arial" w:hAnsi="Calibri" w:cs="Calibri"/>
          <w:color w:val="000000"/>
          <w:sz w:val="21"/>
          <w:szCs w:val="21"/>
        </w:rPr>
        <w:t>w</w:t>
      </w:r>
      <w:proofErr w:type="spellEnd"/>
      <w:r w:rsidR="003014FE">
        <w:rPr>
          <w:rFonts w:ascii="Calibri" w:eastAsia="Arial" w:hAnsi="Calibri" w:cs="Calibri"/>
          <w:color w:val="000000"/>
          <w:sz w:val="21"/>
          <w:szCs w:val="21"/>
        </w:rPr>
        <w:t xml:space="preserve"> 2021 roku</w:t>
      </w:r>
      <w:r w:rsidR="007904FA" w:rsidRPr="007904FA">
        <w:rPr>
          <w:rFonts w:ascii="Calibri" w:eastAsia="Arial" w:hAnsi="Calibri" w:cs="Calibri"/>
          <w:color w:val="000000"/>
          <w:sz w:val="21"/>
          <w:szCs w:val="21"/>
        </w:rPr>
        <w:t xml:space="preserve">. </w:t>
      </w:r>
    </w:p>
    <w:p w14:paraId="7E5B70A3" w14:textId="77777777" w:rsidR="007904FA" w:rsidRPr="005F0D4B" w:rsidRDefault="007904FA" w:rsidP="008C69A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470987" w14:textId="6CB20E29" w:rsidR="00E2417F" w:rsidRPr="0083611C" w:rsidRDefault="00E2417F" w:rsidP="0083611C">
      <w:pPr>
        <w:jc w:val="both"/>
        <w:rPr>
          <w:rFonts w:ascii="Calibri" w:eastAsia="Arial" w:hAnsi="Calibri" w:cs="Calibri"/>
          <w:color w:val="000000"/>
          <w:sz w:val="21"/>
          <w:szCs w:val="21"/>
        </w:rPr>
      </w:pPr>
      <w:r w:rsidRPr="0083611C">
        <w:rPr>
          <w:rFonts w:ascii="Calibri" w:eastAsia="Arial" w:hAnsi="Calibri" w:cs="Calibri"/>
          <w:color w:val="000000"/>
          <w:sz w:val="21"/>
          <w:szCs w:val="21"/>
        </w:rPr>
        <w:t xml:space="preserve">Skonsolidowany </w:t>
      </w:r>
      <w:r w:rsidR="002A00D1" w:rsidRPr="0083611C">
        <w:rPr>
          <w:rFonts w:ascii="Calibri" w:eastAsia="Arial" w:hAnsi="Calibri" w:cs="Calibri"/>
          <w:color w:val="000000"/>
          <w:sz w:val="21"/>
          <w:szCs w:val="21"/>
        </w:rPr>
        <w:t xml:space="preserve">zysk </w:t>
      </w:r>
      <w:r w:rsidRPr="0083611C">
        <w:rPr>
          <w:rFonts w:ascii="Calibri" w:eastAsia="Arial" w:hAnsi="Calibri" w:cs="Calibri"/>
          <w:color w:val="000000"/>
          <w:sz w:val="21"/>
          <w:szCs w:val="21"/>
        </w:rPr>
        <w:t>netto Grupy Kapitałowej LUG w 2022 roku wyniósł 3,1 mln zł</w:t>
      </w:r>
      <w:r w:rsidR="001110DE" w:rsidRPr="0083611C">
        <w:rPr>
          <w:rFonts w:ascii="Calibri" w:eastAsia="Arial" w:hAnsi="Calibri" w:cs="Calibri"/>
          <w:color w:val="000000"/>
          <w:sz w:val="21"/>
          <w:szCs w:val="21"/>
        </w:rPr>
        <w:t xml:space="preserve">. Tylko w </w:t>
      </w:r>
      <w:r w:rsidRPr="0083611C">
        <w:rPr>
          <w:rFonts w:ascii="Calibri" w:eastAsia="Arial" w:hAnsi="Calibri" w:cs="Calibri"/>
          <w:color w:val="000000"/>
          <w:sz w:val="21"/>
          <w:szCs w:val="21"/>
        </w:rPr>
        <w:t>IV kwartale br. zysk netto wyniósł 0,67 mln zł</w:t>
      </w:r>
      <w:r w:rsidR="003F5111" w:rsidRPr="0083611C">
        <w:rPr>
          <w:rFonts w:ascii="Calibri" w:eastAsia="Arial" w:hAnsi="Calibri" w:cs="Calibri"/>
          <w:color w:val="000000"/>
          <w:sz w:val="21"/>
          <w:szCs w:val="21"/>
        </w:rPr>
        <w:t>,</w:t>
      </w:r>
      <w:r w:rsidRPr="0083611C">
        <w:rPr>
          <w:rFonts w:ascii="Calibri" w:eastAsia="Arial" w:hAnsi="Calibri" w:cs="Calibri"/>
          <w:color w:val="000000"/>
          <w:sz w:val="21"/>
          <w:szCs w:val="21"/>
        </w:rPr>
        <w:t xml:space="preserve"> wobec 2,1 mln zł w analogicznym kwartale 2021</w:t>
      </w:r>
      <w:r w:rsidR="001110DE" w:rsidRPr="0083611C">
        <w:rPr>
          <w:rFonts w:ascii="Calibri" w:eastAsia="Arial" w:hAnsi="Calibri" w:cs="Calibri"/>
          <w:color w:val="000000"/>
          <w:sz w:val="21"/>
          <w:szCs w:val="21"/>
        </w:rPr>
        <w:t xml:space="preserve"> roku. </w:t>
      </w:r>
      <w:r w:rsidRPr="0083611C">
        <w:rPr>
          <w:rFonts w:ascii="Calibri" w:eastAsia="Arial" w:hAnsi="Calibri" w:cs="Calibri"/>
          <w:color w:val="000000"/>
          <w:sz w:val="21"/>
          <w:szCs w:val="21"/>
        </w:rPr>
        <w:t xml:space="preserve">Marża netto wyniosła odpowiednio 1,1% w IV kwartale 2022 oraz 1,3% w okresie </w:t>
      </w:r>
      <w:r w:rsidR="001110DE" w:rsidRPr="0083611C">
        <w:rPr>
          <w:rFonts w:ascii="Calibri" w:eastAsia="Arial" w:hAnsi="Calibri" w:cs="Calibri"/>
          <w:color w:val="000000"/>
          <w:sz w:val="21"/>
          <w:szCs w:val="21"/>
        </w:rPr>
        <w:t>czterech</w:t>
      </w:r>
      <w:r w:rsidRPr="0083611C">
        <w:rPr>
          <w:rFonts w:ascii="Calibri" w:eastAsia="Arial" w:hAnsi="Calibri" w:cs="Calibri"/>
          <w:color w:val="000000"/>
          <w:sz w:val="21"/>
          <w:szCs w:val="21"/>
        </w:rPr>
        <w:t xml:space="preserve"> kwartał</w:t>
      </w:r>
      <w:r w:rsidR="001110DE" w:rsidRPr="0083611C">
        <w:rPr>
          <w:rFonts w:ascii="Calibri" w:eastAsia="Arial" w:hAnsi="Calibri" w:cs="Calibri"/>
          <w:color w:val="000000"/>
          <w:sz w:val="21"/>
          <w:szCs w:val="21"/>
        </w:rPr>
        <w:t>ów</w:t>
      </w:r>
      <w:r w:rsidRPr="0083611C">
        <w:rPr>
          <w:rFonts w:ascii="Calibri" w:eastAsia="Arial" w:hAnsi="Calibri" w:cs="Calibri"/>
          <w:color w:val="000000"/>
          <w:sz w:val="21"/>
          <w:szCs w:val="21"/>
        </w:rPr>
        <w:t xml:space="preserve"> 2022 roku</w:t>
      </w:r>
      <w:r w:rsidR="001110DE" w:rsidRPr="0083611C">
        <w:rPr>
          <w:rFonts w:ascii="Calibri" w:eastAsia="Arial" w:hAnsi="Calibri" w:cs="Calibri"/>
          <w:color w:val="000000"/>
          <w:sz w:val="21"/>
          <w:szCs w:val="21"/>
        </w:rPr>
        <w:t xml:space="preserve">. </w:t>
      </w:r>
      <w:r w:rsidR="008A7591" w:rsidRPr="0083611C">
        <w:rPr>
          <w:rFonts w:ascii="Calibri" w:eastAsia="Arial" w:hAnsi="Calibri" w:cs="Calibri"/>
          <w:color w:val="000000"/>
          <w:sz w:val="21"/>
          <w:szCs w:val="21"/>
        </w:rPr>
        <w:t xml:space="preserve">Kluczowy wpływ na poziom marży netto miały wyższe koszty finansowe wynikające z rosnących stóp procentowych zarówno </w:t>
      </w:r>
      <w:r w:rsidR="0083611C">
        <w:rPr>
          <w:rFonts w:ascii="Calibri" w:eastAsia="Arial" w:hAnsi="Calibri" w:cs="Calibri"/>
          <w:color w:val="000000"/>
          <w:sz w:val="21"/>
          <w:szCs w:val="21"/>
        </w:rPr>
        <w:br/>
      </w:r>
      <w:r w:rsidR="008A7591" w:rsidRPr="0083611C">
        <w:rPr>
          <w:rFonts w:ascii="Calibri" w:eastAsia="Arial" w:hAnsi="Calibri" w:cs="Calibri"/>
          <w:color w:val="000000"/>
          <w:sz w:val="21"/>
          <w:szCs w:val="21"/>
        </w:rPr>
        <w:t>w Polsce, jak i w strefie Euro, a także wysoki poziom kosztów półproduktów (głównie w zakresie komponentów elektronicznych), surowców energetycznych czy kosztów transportu w porównaniu do analogicznego okresu roku poprzedniego.</w:t>
      </w:r>
    </w:p>
    <w:p w14:paraId="2542A887" w14:textId="77777777" w:rsidR="00E2417F" w:rsidRPr="001110DE" w:rsidRDefault="00E2417F" w:rsidP="00E2417F">
      <w:pPr>
        <w:rPr>
          <w:rFonts w:ascii="Calibri" w:hAnsi="Calibri" w:cs="Calibri"/>
          <w:b/>
          <w:bCs/>
          <w:color w:val="C00000"/>
          <w:sz w:val="20"/>
          <w:szCs w:val="20"/>
        </w:rPr>
      </w:pPr>
    </w:p>
    <w:p w14:paraId="56C5995A" w14:textId="36D1E23D" w:rsidR="00E2417F" w:rsidRPr="001110DE" w:rsidRDefault="00E2417F" w:rsidP="00E2417F">
      <w:pPr>
        <w:widowControl w:val="0"/>
        <w:autoSpaceDE w:val="0"/>
        <w:autoSpaceDN w:val="0"/>
        <w:adjustRightInd w:val="0"/>
        <w:ind w:right="-766"/>
        <w:jc w:val="both"/>
        <w:rPr>
          <w:rFonts w:ascii="Calibri" w:hAnsi="Calibri" w:cs="Calibri"/>
          <w:sz w:val="20"/>
          <w:szCs w:val="20"/>
          <w:lang w:val="fr-FR"/>
        </w:rPr>
      </w:pPr>
      <w:r w:rsidRPr="001110DE">
        <w:rPr>
          <w:rFonts w:ascii="Calibri" w:hAnsi="Calibri" w:cs="Calibri"/>
          <w:sz w:val="20"/>
          <w:szCs w:val="20"/>
          <w:lang w:val="fr-FR"/>
        </w:rPr>
        <w:tab/>
      </w:r>
    </w:p>
    <w:p w14:paraId="759900D0" w14:textId="460263CA" w:rsidR="00E2417F" w:rsidRDefault="00E2417F" w:rsidP="00E2417F">
      <w:pPr>
        <w:rPr>
          <w:rFonts w:ascii="Calibri" w:hAnsi="Calibri" w:cs="Calibri"/>
          <w:sz w:val="20"/>
          <w:szCs w:val="20"/>
          <w:lang w:val="fr-FR"/>
        </w:rPr>
      </w:pPr>
    </w:p>
    <w:p w14:paraId="69334587" w14:textId="6EFF3ADC" w:rsidR="00E523C2" w:rsidRDefault="00E523C2" w:rsidP="00E2417F">
      <w:pPr>
        <w:rPr>
          <w:rFonts w:ascii="Calibri" w:hAnsi="Calibri" w:cs="Calibri"/>
          <w:sz w:val="20"/>
          <w:szCs w:val="20"/>
          <w:lang w:val="fr-FR"/>
        </w:rPr>
      </w:pPr>
    </w:p>
    <w:p w14:paraId="5081FC90" w14:textId="25C2F6DB" w:rsidR="00E523C2" w:rsidRDefault="00E523C2" w:rsidP="00E2417F">
      <w:pPr>
        <w:rPr>
          <w:rFonts w:ascii="Calibri" w:hAnsi="Calibri" w:cs="Calibri"/>
          <w:sz w:val="20"/>
          <w:szCs w:val="20"/>
          <w:lang w:val="fr-FR"/>
        </w:rPr>
      </w:pPr>
    </w:p>
    <w:p w14:paraId="43850188" w14:textId="77777777" w:rsidR="00E523C2" w:rsidRPr="001110DE" w:rsidRDefault="00E523C2" w:rsidP="00E2417F">
      <w:pPr>
        <w:rPr>
          <w:rFonts w:ascii="Calibri" w:hAnsi="Calibri" w:cs="Calibri"/>
          <w:sz w:val="20"/>
          <w:szCs w:val="20"/>
          <w:lang w:val="fr-FR"/>
        </w:rPr>
      </w:pPr>
    </w:p>
    <w:p w14:paraId="6292371C" w14:textId="77777777" w:rsidR="00E2417F" w:rsidRPr="001110DE" w:rsidRDefault="00E2417F" w:rsidP="00412588">
      <w:pPr>
        <w:spacing w:line="276" w:lineRule="auto"/>
        <w:rPr>
          <w:rFonts w:ascii="Calibri" w:hAnsi="Calibri" w:cs="Calibri"/>
          <w:color w:val="7F7F7F" w:themeColor="text1" w:themeTint="80"/>
          <w:sz w:val="21"/>
          <w:szCs w:val="21"/>
          <w:lang w:val="fr-FR"/>
        </w:rPr>
      </w:pPr>
    </w:p>
    <w:p w14:paraId="2A72F0AF" w14:textId="77777777" w:rsidR="00E2417F" w:rsidRPr="00FD2FD0" w:rsidRDefault="00E2417F" w:rsidP="00412588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BF1C4DD" w14:textId="2E3E6344" w:rsidR="00B63593" w:rsidRPr="001110DE" w:rsidRDefault="00B63593" w:rsidP="00412588">
      <w:pPr>
        <w:spacing w:line="276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1110DE">
        <w:rPr>
          <w:rFonts w:ascii="Calibri" w:hAnsi="Calibri" w:cs="Calibri"/>
          <w:color w:val="000000" w:themeColor="text1"/>
          <w:sz w:val="20"/>
          <w:szCs w:val="20"/>
        </w:rPr>
        <w:t>***</w:t>
      </w:r>
    </w:p>
    <w:p w14:paraId="051A4B73" w14:textId="77777777" w:rsidR="00B63593" w:rsidRPr="001110DE" w:rsidRDefault="00B63593" w:rsidP="00412588">
      <w:pPr>
        <w:spacing w:line="276" w:lineRule="auto"/>
        <w:jc w:val="both"/>
        <w:rPr>
          <w:rFonts w:ascii="Calibri" w:hAnsi="Calibri" w:cs="Calibri"/>
          <w:color w:val="C00000"/>
          <w:sz w:val="20"/>
          <w:szCs w:val="20"/>
        </w:rPr>
      </w:pPr>
    </w:p>
    <w:p w14:paraId="5CCD2350" w14:textId="05D62705" w:rsidR="00B63593" w:rsidRPr="001110DE" w:rsidRDefault="00B63593" w:rsidP="00412588">
      <w:pPr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1110DE">
        <w:rPr>
          <w:rFonts w:ascii="Calibri" w:hAnsi="Calibri" w:cs="Calibri"/>
          <w:b/>
          <w:bCs/>
          <w:color w:val="000000" w:themeColor="text1"/>
          <w:sz w:val="18"/>
          <w:szCs w:val="18"/>
        </w:rPr>
        <w:t>LUG S.A. to spółka holdingowa Grupy Kapitałowej LUG S.A.</w:t>
      </w:r>
      <w:r w:rsidRPr="001110DE">
        <w:rPr>
          <w:rFonts w:ascii="Calibri" w:hAnsi="Calibri" w:cs="Calibri"/>
          <w:color w:val="000000" w:themeColor="text1"/>
          <w:sz w:val="18"/>
          <w:szCs w:val="18"/>
        </w:rPr>
        <w:t xml:space="preserve"> – jednego z czołowych europejskich producentów profesjonalnych rozwiązań oświetleniowych. Grupa sprzedaje swoje produkty w Polsce oraz w kilkudziesięciu krajach na całym świecie. Posiadająca ponad 30 lat doświadczenia firma z siedzibą w Zielonej Górze, od 2008 roku funkcjonuje jako Grupa Kapitałowa. </w:t>
      </w:r>
      <w:r w:rsidR="0083611C">
        <w:rPr>
          <w:rFonts w:ascii="Calibri" w:hAnsi="Calibri" w:cs="Calibri"/>
          <w:color w:val="000000" w:themeColor="text1"/>
          <w:sz w:val="18"/>
          <w:szCs w:val="18"/>
        </w:rPr>
        <w:br/>
      </w:r>
      <w:r w:rsidRPr="001110DE">
        <w:rPr>
          <w:rFonts w:ascii="Calibri" w:hAnsi="Calibri" w:cs="Calibri"/>
          <w:color w:val="000000" w:themeColor="text1"/>
          <w:sz w:val="18"/>
          <w:szCs w:val="18"/>
        </w:rPr>
        <w:t xml:space="preserve">W jej skład wchodzą: LUG S.A., LUG </w:t>
      </w:r>
      <w:proofErr w:type="spellStart"/>
      <w:r w:rsidRPr="001110DE">
        <w:rPr>
          <w:rFonts w:ascii="Calibri" w:hAnsi="Calibri" w:cs="Calibri"/>
          <w:color w:val="000000" w:themeColor="text1"/>
          <w:sz w:val="18"/>
          <w:szCs w:val="18"/>
        </w:rPr>
        <w:t>Light</w:t>
      </w:r>
      <w:proofErr w:type="spellEnd"/>
      <w:r w:rsidRPr="001110D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1110DE">
        <w:rPr>
          <w:rFonts w:ascii="Calibri" w:hAnsi="Calibri" w:cs="Calibri"/>
          <w:color w:val="000000" w:themeColor="text1"/>
          <w:sz w:val="18"/>
          <w:szCs w:val="18"/>
        </w:rPr>
        <w:t>Factory</w:t>
      </w:r>
      <w:proofErr w:type="spellEnd"/>
      <w:r w:rsidRPr="001110DE">
        <w:rPr>
          <w:rFonts w:ascii="Calibri" w:hAnsi="Calibri" w:cs="Calibri"/>
          <w:color w:val="000000" w:themeColor="text1"/>
          <w:sz w:val="18"/>
          <w:szCs w:val="18"/>
        </w:rPr>
        <w:t xml:space="preserve"> Sp. z o.o., LUG GmbH, LUG do </w:t>
      </w:r>
      <w:proofErr w:type="spellStart"/>
      <w:r w:rsidRPr="001110DE">
        <w:rPr>
          <w:rFonts w:ascii="Calibri" w:hAnsi="Calibri" w:cs="Calibri"/>
          <w:color w:val="000000" w:themeColor="text1"/>
          <w:sz w:val="18"/>
          <w:szCs w:val="18"/>
        </w:rPr>
        <w:t>Brasil</w:t>
      </w:r>
      <w:proofErr w:type="spellEnd"/>
      <w:r w:rsidRPr="001110D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1110DE">
        <w:rPr>
          <w:rFonts w:ascii="Calibri" w:hAnsi="Calibri" w:cs="Calibri"/>
          <w:color w:val="000000" w:themeColor="text1"/>
          <w:sz w:val="18"/>
          <w:szCs w:val="18"/>
        </w:rPr>
        <w:t>Ltda</w:t>
      </w:r>
      <w:proofErr w:type="spellEnd"/>
      <w:r w:rsidRPr="001110DE">
        <w:rPr>
          <w:rFonts w:ascii="Calibri" w:hAnsi="Calibri" w:cs="Calibri"/>
          <w:color w:val="000000" w:themeColor="text1"/>
          <w:sz w:val="18"/>
          <w:szCs w:val="18"/>
        </w:rPr>
        <w:t xml:space="preserve">, LUG </w:t>
      </w:r>
      <w:proofErr w:type="spellStart"/>
      <w:r w:rsidRPr="001110DE">
        <w:rPr>
          <w:rFonts w:ascii="Calibri" w:hAnsi="Calibri" w:cs="Calibri"/>
          <w:color w:val="000000" w:themeColor="text1"/>
          <w:sz w:val="18"/>
          <w:szCs w:val="18"/>
        </w:rPr>
        <w:t>Lighting</w:t>
      </w:r>
      <w:proofErr w:type="spellEnd"/>
      <w:r w:rsidRPr="001110DE">
        <w:rPr>
          <w:rFonts w:ascii="Calibri" w:hAnsi="Calibri" w:cs="Calibri"/>
          <w:color w:val="000000" w:themeColor="text1"/>
          <w:sz w:val="18"/>
          <w:szCs w:val="18"/>
        </w:rPr>
        <w:t xml:space="preserve"> UK Ltd., TOW LUG Ukraina, BIOT Sp. z o.o., LUG </w:t>
      </w:r>
      <w:proofErr w:type="spellStart"/>
      <w:r w:rsidRPr="001110DE">
        <w:rPr>
          <w:rFonts w:ascii="Calibri" w:hAnsi="Calibri" w:cs="Calibri"/>
          <w:color w:val="000000" w:themeColor="text1"/>
          <w:sz w:val="18"/>
          <w:szCs w:val="18"/>
        </w:rPr>
        <w:t>Argentina</w:t>
      </w:r>
      <w:proofErr w:type="spellEnd"/>
      <w:r w:rsidRPr="001110DE">
        <w:rPr>
          <w:rFonts w:ascii="Calibri" w:hAnsi="Calibri" w:cs="Calibri"/>
          <w:color w:val="000000" w:themeColor="text1"/>
          <w:sz w:val="18"/>
          <w:szCs w:val="18"/>
        </w:rPr>
        <w:t xml:space="preserve"> S.A., LUG Turkey, LUG Services Sp. z o.o., ESCOLIGHT Sp. z o.o. LUG S.A. od listopada 2007 roku jest notowana na rynku </w:t>
      </w:r>
      <w:proofErr w:type="spellStart"/>
      <w:r w:rsidRPr="001110DE">
        <w:rPr>
          <w:rFonts w:ascii="Calibri" w:hAnsi="Calibri" w:cs="Calibri"/>
          <w:color w:val="000000" w:themeColor="text1"/>
          <w:sz w:val="18"/>
          <w:szCs w:val="18"/>
        </w:rPr>
        <w:t>NewConnect</w:t>
      </w:r>
      <w:proofErr w:type="spellEnd"/>
      <w:r w:rsidRPr="001110DE">
        <w:rPr>
          <w:rFonts w:ascii="Calibri" w:hAnsi="Calibri" w:cs="Calibri"/>
          <w:color w:val="000000" w:themeColor="text1"/>
          <w:sz w:val="18"/>
          <w:szCs w:val="18"/>
        </w:rPr>
        <w:t xml:space="preserve"> zarządzanym przez warszawską GPW. Więcej informacji: </w:t>
      </w:r>
      <w:hyperlink r:id="rId7" w:history="1">
        <w:r w:rsidRPr="001110DE">
          <w:rPr>
            <w:rStyle w:val="Hipercze"/>
            <w:rFonts w:ascii="Calibri" w:hAnsi="Calibri" w:cs="Calibri"/>
            <w:color w:val="000000" w:themeColor="text1"/>
            <w:sz w:val="18"/>
            <w:szCs w:val="18"/>
          </w:rPr>
          <w:t>www.lug.com.pl</w:t>
        </w:r>
      </w:hyperlink>
    </w:p>
    <w:p w14:paraId="44D0982B" w14:textId="77777777" w:rsidR="00B63593" w:rsidRPr="001110DE" w:rsidRDefault="00B63593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116A76E0" w14:textId="77777777" w:rsidR="00B63593" w:rsidRPr="001110DE" w:rsidRDefault="00B63593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3C5F2D44" w14:textId="6DA553C3" w:rsidR="00B63593" w:rsidRDefault="00B63593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1110DE">
        <w:rPr>
          <w:rFonts w:ascii="Calibri" w:hAnsi="Calibri" w:cs="Calibri"/>
          <w:color w:val="000000" w:themeColor="text1"/>
          <w:sz w:val="20"/>
          <w:szCs w:val="20"/>
          <w:u w:val="single"/>
        </w:rPr>
        <w:t>Kontakt dla mediów:</w:t>
      </w:r>
    </w:p>
    <w:p w14:paraId="7A8B5519" w14:textId="77777777" w:rsidR="00BD5488" w:rsidRPr="001110DE" w:rsidRDefault="00BD5488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color w:val="000000" w:themeColor="text1"/>
          <w:sz w:val="20"/>
          <w:szCs w:val="20"/>
          <w:u w:val="single"/>
        </w:rPr>
      </w:pPr>
    </w:p>
    <w:p w14:paraId="1C235AD8" w14:textId="77777777" w:rsidR="00B63593" w:rsidRPr="001110DE" w:rsidRDefault="00B63593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110DE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Monika Bartoszak, </w:t>
      </w:r>
      <w:r w:rsidRPr="001110DE">
        <w:rPr>
          <w:rFonts w:ascii="Calibri" w:hAnsi="Calibri" w:cs="Calibri"/>
          <w:color w:val="000000" w:themeColor="text1"/>
          <w:sz w:val="20"/>
          <w:szCs w:val="20"/>
        </w:rPr>
        <w:t>Dyrektor Biura Zarządu i Komunikacji, tel. +48 510 183 993, e-mail:</w:t>
      </w:r>
      <w:r w:rsidRPr="001110DE">
        <w:rPr>
          <w:rFonts w:ascii="Calibri" w:hAnsi="Calibri" w:cs="Calibri"/>
          <w:color w:val="000000" w:themeColor="text1"/>
          <w:sz w:val="20"/>
          <w:szCs w:val="20"/>
        </w:rPr>
        <w:tab/>
      </w:r>
      <w:hyperlink r:id="rId8" w:history="1">
        <w:r w:rsidRPr="001110DE">
          <w:rPr>
            <w:rStyle w:val="Hipercze"/>
            <w:rFonts w:ascii="Calibri" w:hAnsi="Calibri" w:cs="Calibri"/>
            <w:color w:val="000000" w:themeColor="text1"/>
            <w:sz w:val="20"/>
            <w:szCs w:val="20"/>
          </w:rPr>
          <w:t>monika.bartoszak@lug.com.pl</w:t>
        </w:r>
      </w:hyperlink>
    </w:p>
    <w:p w14:paraId="1360C60C" w14:textId="3DC92A97" w:rsidR="00B63593" w:rsidRPr="001110DE" w:rsidRDefault="00B63593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1110DE">
        <w:rPr>
          <w:rFonts w:ascii="Calibri" w:hAnsi="Calibri" w:cs="Calibri"/>
          <w:b/>
          <w:bCs/>
          <w:color w:val="000000" w:themeColor="text1"/>
          <w:sz w:val="20"/>
          <w:szCs w:val="20"/>
        </w:rPr>
        <w:t>Kamila Górczyńska-Żyżkowska</w:t>
      </w:r>
      <w:r w:rsidRPr="001110DE">
        <w:rPr>
          <w:rFonts w:ascii="Calibri" w:hAnsi="Calibri" w:cs="Calibri"/>
          <w:color w:val="000000" w:themeColor="text1"/>
          <w:sz w:val="20"/>
          <w:szCs w:val="20"/>
        </w:rPr>
        <w:t xml:space="preserve">, In </w:t>
      </w:r>
      <w:proofErr w:type="spellStart"/>
      <w:r w:rsidRPr="001110DE">
        <w:rPr>
          <w:rFonts w:ascii="Calibri" w:hAnsi="Calibri" w:cs="Calibri"/>
          <w:color w:val="000000" w:themeColor="text1"/>
          <w:sz w:val="20"/>
          <w:szCs w:val="20"/>
        </w:rPr>
        <w:t>Touch</w:t>
      </w:r>
      <w:proofErr w:type="spellEnd"/>
      <w:r w:rsidRPr="001110DE">
        <w:rPr>
          <w:rFonts w:ascii="Calibri" w:hAnsi="Calibri" w:cs="Calibri"/>
          <w:color w:val="000000" w:themeColor="text1"/>
          <w:sz w:val="20"/>
          <w:szCs w:val="20"/>
        </w:rPr>
        <w:t xml:space="preserve">, tel. </w:t>
      </w:r>
      <w:r w:rsidRPr="001110DE">
        <w:rPr>
          <w:rFonts w:ascii="Calibri" w:hAnsi="Calibri" w:cs="Calibri"/>
          <w:color w:val="000000" w:themeColor="text1"/>
          <w:sz w:val="20"/>
          <w:szCs w:val="20"/>
          <w:lang w:val="fr-FR"/>
        </w:rPr>
        <w:t>+48 601 805 484, e-mail:</w:t>
      </w:r>
      <w:r w:rsidR="00C17FF8" w:rsidRPr="001110DE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</w:t>
      </w:r>
      <w:hyperlink r:id="rId9" w:history="1">
        <w:r w:rsidR="00C17FF8" w:rsidRPr="001110DE">
          <w:rPr>
            <w:rStyle w:val="Hipercze"/>
            <w:rFonts w:ascii="Calibri" w:hAnsi="Calibri" w:cs="Calibri"/>
            <w:color w:val="000000" w:themeColor="text1"/>
            <w:sz w:val="20"/>
            <w:szCs w:val="20"/>
            <w:lang w:val="fr-FR"/>
          </w:rPr>
          <w:t>kamila.zyzkowska@intouchpr.pl</w:t>
        </w:r>
      </w:hyperlink>
      <w:r w:rsidRPr="001110DE">
        <w:rPr>
          <w:rFonts w:ascii="Calibri" w:hAnsi="Calibri" w:cs="Calibri"/>
          <w:color w:val="000000" w:themeColor="text1"/>
          <w:sz w:val="20"/>
          <w:szCs w:val="20"/>
          <w:lang w:val="fr-FR"/>
        </w:rPr>
        <w:tab/>
      </w:r>
      <w:r w:rsidRPr="001110DE">
        <w:rPr>
          <w:rFonts w:ascii="Calibri" w:hAnsi="Calibri" w:cs="Calibri"/>
          <w:color w:val="000000" w:themeColor="text1"/>
          <w:sz w:val="20"/>
          <w:szCs w:val="20"/>
          <w:lang w:val="fr-FR"/>
        </w:rPr>
        <w:tab/>
      </w:r>
    </w:p>
    <w:p w14:paraId="17DEDED0" w14:textId="77777777" w:rsidR="00A65718" w:rsidRPr="001110DE" w:rsidRDefault="00A65718" w:rsidP="00412588">
      <w:pPr>
        <w:spacing w:line="276" w:lineRule="auto"/>
        <w:rPr>
          <w:rFonts w:ascii="Calibri" w:hAnsi="Calibri" w:cs="Calibri"/>
          <w:color w:val="C00000"/>
          <w:sz w:val="20"/>
          <w:szCs w:val="20"/>
          <w:lang w:val="fr-FR"/>
        </w:rPr>
      </w:pPr>
    </w:p>
    <w:p w14:paraId="55F49D95" w14:textId="77777777" w:rsidR="002A2736" w:rsidRPr="001110DE" w:rsidRDefault="002A2736" w:rsidP="00412588">
      <w:pPr>
        <w:spacing w:line="276" w:lineRule="auto"/>
        <w:rPr>
          <w:rFonts w:ascii="Calibri" w:hAnsi="Calibri" w:cs="Calibri"/>
          <w:color w:val="C00000"/>
          <w:sz w:val="20"/>
          <w:szCs w:val="20"/>
          <w:lang w:val="fr-FR"/>
        </w:rPr>
      </w:pPr>
    </w:p>
    <w:sectPr w:rsidR="002A2736" w:rsidRPr="001110DE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0A8B" w14:textId="77777777" w:rsidR="003F7397" w:rsidRDefault="003F7397">
      <w:r>
        <w:separator/>
      </w:r>
    </w:p>
  </w:endnote>
  <w:endnote w:type="continuationSeparator" w:id="0">
    <w:p w14:paraId="79B9C3E0" w14:textId="77777777" w:rsidR="003F7397" w:rsidRDefault="003F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alibri"/>
    <w:charset w:val="EE"/>
    <w:family w:val="auto"/>
    <w:pitch w:val="variable"/>
    <w:sig w:usb0="80000027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0C73" w14:textId="77777777" w:rsidR="003F7397" w:rsidRDefault="003F7397">
      <w:r>
        <w:separator/>
      </w:r>
    </w:p>
  </w:footnote>
  <w:footnote w:type="continuationSeparator" w:id="0">
    <w:p w14:paraId="26081C1C" w14:textId="77777777" w:rsidR="003F7397" w:rsidRDefault="003F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76A"/>
    <w:multiLevelType w:val="hybridMultilevel"/>
    <w:tmpl w:val="0194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C90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B5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8A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2B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270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8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5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04A0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1BA"/>
    <w:multiLevelType w:val="hybridMultilevel"/>
    <w:tmpl w:val="D790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D86"/>
    <w:multiLevelType w:val="hybridMultilevel"/>
    <w:tmpl w:val="026C6788"/>
    <w:lvl w:ilvl="0" w:tplc="5E5EC87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3EDC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DD1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E88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4EE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DDE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EF2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6574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42B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70028"/>
    <w:multiLevelType w:val="hybridMultilevel"/>
    <w:tmpl w:val="365CD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65D9E"/>
    <w:multiLevelType w:val="hybridMultilevel"/>
    <w:tmpl w:val="6AD0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C340C"/>
    <w:multiLevelType w:val="hybridMultilevel"/>
    <w:tmpl w:val="FC920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5363F"/>
    <w:multiLevelType w:val="multilevel"/>
    <w:tmpl w:val="ACE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02004"/>
    <w:multiLevelType w:val="hybridMultilevel"/>
    <w:tmpl w:val="E22A1662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669C3"/>
    <w:multiLevelType w:val="multilevel"/>
    <w:tmpl w:val="4452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DF110B"/>
    <w:multiLevelType w:val="hybridMultilevel"/>
    <w:tmpl w:val="1D1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A595C"/>
    <w:multiLevelType w:val="multilevel"/>
    <w:tmpl w:val="E398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510005"/>
    <w:multiLevelType w:val="hybridMultilevel"/>
    <w:tmpl w:val="A254FF70"/>
    <w:lvl w:ilvl="0" w:tplc="2D905D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344E0BF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028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CDE6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0B7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0BA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2694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41E7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46E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C99761D"/>
    <w:multiLevelType w:val="hybridMultilevel"/>
    <w:tmpl w:val="F6F84BE0"/>
    <w:lvl w:ilvl="0" w:tplc="33AA6C64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2A752B"/>
    <w:multiLevelType w:val="hybridMultilevel"/>
    <w:tmpl w:val="A0685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885E96"/>
    <w:multiLevelType w:val="hybridMultilevel"/>
    <w:tmpl w:val="D03643B0"/>
    <w:lvl w:ilvl="0" w:tplc="299A46C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80D9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6E32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047F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23AA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4483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7C0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49CC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C99A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06D6C"/>
    <w:multiLevelType w:val="hybridMultilevel"/>
    <w:tmpl w:val="3F7A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33B85"/>
    <w:multiLevelType w:val="multilevel"/>
    <w:tmpl w:val="1D02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A20E72"/>
    <w:multiLevelType w:val="hybridMultilevel"/>
    <w:tmpl w:val="B1F48D56"/>
    <w:lvl w:ilvl="0" w:tplc="8D0EF3A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 w:themeColor="text1"/>
      </w:rPr>
    </w:lvl>
    <w:lvl w:ilvl="1" w:tplc="423C5D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806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4A4E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E6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E13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6C1F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0EFF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EF26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522523A"/>
    <w:multiLevelType w:val="multilevel"/>
    <w:tmpl w:val="89F8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377A9"/>
    <w:multiLevelType w:val="hybridMultilevel"/>
    <w:tmpl w:val="B454679C"/>
    <w:lvl w:ilvl="0" w:tplc="4F72182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8D9F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49C6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0814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4B5C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2433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0843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CCF6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6FB2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945C7"/>
    <w:multiLevelType w:val="hybridMultilevel"/>
    <w:tmpl w:val="88CC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C4B25"/>
    <w:multiLevelType w:val="multilevel"/>
    <w:tmpl w:val="187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C2E4E"/>
    <w:multiLevelType w:val="multilevel"/>
    <w:tmpl w:val="407E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B3630"/>
    <w:multiLevelType w:val="hybridMultilevel"/>
    <w:tmpl w:val="2D92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41B4A"/>
    <w:multiLevelType w:val="hybridMultilevel"/>
    <w:tmpl w:val="30D60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70E0F"/>
    <w:multiLevelType w:val="hybridMultilevel"/>
    <w:tmpl w:val="244CF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09359">
    <w:abstractNumId w:val="13"/>
  </w:num>
  <w:num w:numId="2" w16cid:durableId="2012944701">
    <w:abstractNumId w:val="40"/>
  </w:num>
  <w:num w:numId="3" w16cid:durableId="2006779497">
    <w:abstractNumId w:val="0"/>
  </w:num>
  <w:num w:numId="4" w16cid:durableId="1049574755">
    <w:abstractNumId w:val="32"/>
  </w:num>
  <w:num w:numId="5" w16cid:durableId="390858135">
    <w:abstractNumId w:val="17"/>
  </w:num>
  <w:num w:numId="6" w16cid:durableId="1396510185">
    <w:abstractNumId w:val="23"/>
  </w:num>
  <w:num w:numId="7" w16cid:durableId="535386118">
    <w:abstractNumId w:val="9"/>
  </w:num>
  <w:num w:numId="8" w16cid:durableId="1129281488">
    <w:abstractNumId w:val="41"/>
  </w:num>
  <w:num w:numId="9" w16cid:durableId="546185853">
    <w:abstractNumId w:val="36"/>
  </w:num>
  <w:num w:numId="10" w16cid:durableId="1854299801">
    <w:abstractNumId w:val="10"/>
  </w:num>
  <w:num w:numId="11" w16cid:durableId="193276162">
    <w:abstractNumId w:val="44"/>
  </w:num>
  <w:num w:numId="12" w16cid:durableId="647245410">
    <w:abstractNumId w:val="31"/>
  </w:num>
  <w:num w:numId="13" w16cid:durableId="872419178">
    <w:abstractNumId w:val="5"/>
  </w:num>
  <w:num w:numId="14" w16cid:durableId="1051269105">
    <w:abstractNumId w:val="6"/>
  </w:num>
  <w:num w:numId="15" w16cid:durableId="1097865343">
    <w:abstractNumId w:val="16"/>
  </w:num>
  <w:num w:numId="16" w16cid:durableId="2032755841">
    <w:abstractNumId w:val="15"/>
  </w:num>
  <w:num w:numId="17" w16cid:durableId="2107993950">
    <w:abstractNumId w:val="39"/>
  </w:num>
  <w:num w:numId="18" w16cid:durableId="1831945742">
    <w:abstractNumId w:val="11"/>
  </w:num>
  <w:num w:numId="19" w16cid:durableId="1898932066">
    <w:abstractNumId w:val="38"/>
  </w:num>
  <w:num w:numId="20" w16cid:durableId="239606779">
    <w:abstractNumId w:val="27"/>
  </w:num>
  <w:num w:numId="21" w16cid:durableId="1372026215">
    <w:abstractNumId w:val="19"/>
  </w:num>
  <w:num w:numId="22" w16cid:durableId="696589416">
    <w:abstractNumId w:val="1"/>
  </w:num>
  <w:num w:numId="23" w16cid:durableId="67968503">
    <w:abstractNumId w:val="34"/>
  </w:num>
  <w:num w:numId="24" w16cid:durableId="1160655216">
    <w:abstractNumId w:val="2"/>
  </w:num>
  <w:num w:numId="25" w16cid:durableId="1409882514">
    <w:abstractNumId w:val="37"/>
  </w:num>
  <w:num w:numId="26" w16cid:durableId="533423687">
    <w:abstractNumId w:val="3"/>
  </w:num>
  <w:num w:numId="27" w16cid:durableId="1150752663">
    <w:abstractNumId w:val="43"/>
  </w:num>
  <w:num w:numId="28" w16cid:durableId="1297418346">
    <w:abstractNumId w:val="26"/>
  </w:num>
  <w:num w:numId="29" w16cid:durableId="1387298743">
    <w:abstractNumId w:val="22"/>
  </w:num>
  <w:num w:numId="30" w16cid:durableId="1641375399">
    <w:abstractNumId w:val="7"/>
  </w:num>
  <w:num w:numId="31" w16cid:durableId="366612304">
    <w:abstractNumId w:val="14"/>
  </w:num>
  <w:num w:numId="32" w16cid:durableId="1815826552">
    <w:abstractNumId w:val="25"/>
  </w:num>
  <w:num w:numId="33" w16cid:durableId="1990206837">
    <w:abstractNumId w:val="12"/>
  </w:num>
  <w:num w:numId="34" w16cid:durableId="988676707">
    <w:abstractNumId w:val="20"/>
  </w:num>
  <w:num w:numId="35" w16cid:durableId="1805852078">
    <w:abstractNumId w:val="35"/>
  </w:num>
  <w:num w:numId="36" w16cid:durableId="790442831">
    <w:abstractNumId w:val="42"/>
  </w:num>
  <w:num w:numId="37" w16cid:durableId="461727213">
    <w:abstractNumId w:val="21"/>
  </w:num>
  <w:num w:numId="38" w16cid:durableId="1059287143">
    <w:abstractNumId w:val="24"/>
  </w:num>
  <w:num w:numId="39" w16cid:durableId="1129200840">
    <w:abstractNumId w:val="33"/>
  </w:num>
  <w:num w:numId="40" w16cid:durableId="1125926967">
    <w:abstractNumId w:val="18"/>
  </w:num>
  <w:num w:numId="41" w16cid:durableId="1913849603">
    <w:abstractNumId w:val="30"/>
  </w:num>
  <w:num w:numId="42" w16cid:durableId="1896894768">
    <w:abstractNumId w:val="28"/>
  </w:num>
  <w:num w:numId="43" w16cid:durableId="99877284">
    <w:abstractNumId w:val="45"/>
  </w:num>
  <w:num w:numId="44" w16cid:durableId="940379432">
    <w:abstractNumId w:val="29"/>
  </w:num>
  <w:num w:numId="45" w16cid:durableId="448087231">
    <w:abstractNumId w:val="8"/>
  </w:num>
  <w:num w:numId="46" w16cid:durableId="1408455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04719"/>
    <w:rsid w:val="00013146"/>
    <w:rsid w:val="00015F70"/>
    <w:rsid w:val="000246AD"/>
    <w:rsid w:val="0003379D"/>
    <w:rsid w:val="000349E7"/>
    <w:rsid w:val="00035471"/>
    <w:rsid w:val="0003580C"/>
    <w:rsid w:val="00041B56"/>
    <w:rsid w:val="00042A10"/>
    <w:rsid w:val="00052F9A"/>
    <w:rsid w:val="00053E24"/>
    <w:rsid w:val="00054E47"/>
    <w:rsid w:val="00054F99"/>
    <w:rsid w:val="000559BD"/>
    <w:rsid w:val="00056C5A"/>
    <w:rsid w:val="000611A8"/>
    <w:rsid w:val="00061358"/>
    <w:rsid w:val="000616D1"/>
    <w:rsid w:val="00063307"/>
    <w:rsid w:val="00064003"/>
    <w:rsid w:val="00072A1C"/>
    <w:rsid w:val="00074DD0"/>
    <w:rsid w:val="00076F93"/>
    <w:rsid w:val="000821FE"/>
    <w:rsid w:val="000902E5"/>
    <w:rsid w:val="00090935"/>
    <w:rsid w:val="00090B31"/>
    <w:rsid w:val="0009276F"/>
    <w:rsid w:val="0009278B"/>
    <w:rsid w:val="00094F3E"/>
    <w:rsid w:val="000A0439"/>
    <w:rsid w:val="000A5B17"/>
    <w:rsid w:val="000B5A9A"/>
    <w:rsid w:val="000C654F"/>
    <w:rsid w:val="000D13B2"/>
    <w:rsid w:val="000D23A8"/>
    <w:rsid w:val="000D6ECD"/>
    <w:rsid w:val="000D7887"/>
    <w:rsid w:val="000F50D0"/>
    <w:rsid w:val="000F5108"/>
    <w:rsid w:val="001000FF"/>
    <w:rsid w:val="001110DE"/>
    <w:rsid w:val="00111D1A"/>
    <w:rsid w:val="00111E31"/>
    <w:rsid w:val="00116299"/>
    <w:rsid w:val="001166BA"/>
    <w:rsid w:val="00122D1E"/>
    <w:rsid w:val="0012404D"/>
    <w:rsid w:val="00126870"/>
    <w:rsid w:val="0012706E"/>
    <w:rsid w:val="00132B2A"/>
    <w:rsid w:val="00135CC2"/>
    <w:rsid w:val="0013764C"/>
    <w:rsid w:val="001413BC"/>
    <w:rsid w:val="00145140"/>
    <w:rsid w:val="00150D07"/>
    <w:rsid w:val="00152A17"/>
    <w:rsid w:val="00161624"/>
    <w:rsid w:val="00162F7A"/>
    <w:rsid w:val="00170496"/>
    <w:rsid w:val="001727B5"/>
    <w:rsid w:val="00173A9D"/>
    <w:rsid w:val="00176051"/>
    <w:rsid w:val="001776C6"/>
    <w:rsid w:val="00180BD6"/>
    <w:rsid w:val="001857FF"/>
    <w:rsid w:val="00194EDF"/>
    <w:rsid w:val="001A5C48"/>
    <w:rsid w:val="001A67D8"/>
    <w:rsid w:val="001A766B"/>
    <w:rsid w:val="001B2C9B"/>
    <w:rsid w:val="001B4510"/>
    <w:rsid w:val="001C033C"/>
    <w:rsid w:val="001C071C"/>
    <w:rsid w:val="001C2687"/>
    <w:rsid w:val="001C2BDB"/>
    <w:rsid w:val="001D007A"/>
    <w:rsid w:val="001D57A4"/>
    <w:rsid w:val="001E0146"/>
    <w:rsid w:val="001E03F6"/>
    <w:rsid w:val="001E130C"/>
    <w:rsid w:val="001E6AC9"/>
    <w:rsid w:val="001F19AC"/>
    <w:rsid w:val="001F1DFA"/>
    <w:rsid w:val="001F4C1E"/>
    <w:rsid w:val="001F6867"/>
    <w:rsid w:val="0020007E"/>
    <w:rsid w:val="00201493"/>
    <w:rsid w:val="00206E36"/>
    <w:rsid w:val="0021021C"/>
    <w:rsid w:val="00213ABB"/>
    <w:rsid w:val="00213D49"/>
    <w:rsid w:val="00214312"/>
    <w:rsid w:val="00214C2B"/>
    <w:rsid w:val="002164ED"/>
    <w:rsid w:val="00220A66"/>
    <w:rsid w:val="00230718"/>
    <w:rsid w:val="00236B11"/>
    <w:rsid w:val="00242666"/>
    <w:rsid w:val="00242756"/>
    <w:rsid w:val="0024624B"/>
    <w:rsid w:val="002462AB"/>
    <w:rsid w:val="00250D2E"/>
    <w:rsid w:val="00252B0C"/>
    <w:rsid w:val="002551BF"/>
    <w:rsid w:val="00257350"/>
    <w:rsid w:val="0025763E"/>
    <w:rsid w:val="00260062"/>
    <w:rsid w:val="0026580B"/>
    <w:rsid w:val="002675E5"/>
    <w:rsid w:val="002732FB"/>
    <w:rsid w:val="00273AB8"/>
    <w:rsid w:val="00280B48"/>
    <w:rsid w:val="00284FD0"/>
    <w:rsid w:val="00294DAF"/>
    <w:rsid w:val="00297FAD"/>
    <w:rsid w:val="002A00D1"/>
    <w:rsid w:val="002A0DD6"/>
    <w:rsid w:val="002A1EAF"/>
    <w:rsid w:val="002A2736"/>
    <w:rsid w:val="002A448D"/>
    <w:rsid w:val="002A4B7D"/>
    <w:rsid w:val="002B03D9"/>
    <w:rsid w:val="002B1B76"/>
    <w:rsid w:val="002B3947"/>
    <w:rsid w:val="002B3BEB"/>
    <w:rsid w:val="002B433A"/>
    <w:rsid w:val="002B6D6B"/>
    <w:rsid w:val="002C06E9"/>
    <w:rsid w:val="002C2136"/>
    <w:rsid w:val="002D4249"/>
    <w:rsid w:val="002D5656"/>
    <w:rsid w:val="002D5E50"/>
    <w:rsid w:val="002D67CE"/>
    <w:rsid w:val="002D68B3"/>
    <w:rsid w:val="002D6FFB"/>
    <w:rsid w:val="002E3000"/>
    <w:rsid w:val="002E46BF"/>
    <w:rsid w:val="002E7BDC"/>
    <w:rsid w:val="002F4425"/>
    <w:rsid w:val="002F6F45"/>
    <w:rsid w:val="003014FE"/>
    <w:rsid w:val="00304CC3"/>
    <w:rsid w:val="003058F7"/>
    <w:rsid w:val="00306E7B"/>
    <w:rsid w:val="00316B02"/>
    <w:rsid w:val="00317439"/>
    <w:rsid w:val="00317797"/>
    <w:rsid w:val="0032014F"/>
    <w:rsid w:val="00323A67"/>
    <w:rsid w:val="003305D7"/>
    <w:rsid w:val="00332B11"/>
    <w:rsid w:val="00333EC4"/>
    <w:rsid w:val="00336495"/>
    <w:rsid w:val="003369D2"/>
    <w:rsid w:val="00341305"/>
    <w:rsid w:val="0034275D"/>
    <w:rsid w:val="00343D7F"/>
    <w:rsid w:val="00346839"/>
    <w:rsid w:val="00352F88"/>
    <w:rsid w:val="0035449F"/>
    <w:rsid w:val="00357D55"/>
    <w:rsid w:val="00364E21"/>
    <w:rsid w:val="0036587D"/>
    <w:rsid w:val="00370B54"/>
    <w:rsid w:val="00374FDA"/>
    <w:rsid w:val="00375386"/>
    <w:rsid w:val="003767A4"/>
    <w:rsid w:val="003773D5"/>
    <w:rsid w:val="00384B23"/>
    <w:rsid w:val="00385915"/>
    <w:rsid w:val="00385BCA"/>
    <w:rsid w:val="003867A6"/>
    <w:rsid w:val="00387FB4"/>
    <w:rsid w:val="0039083E"/>
    <w:rsid w:val="003924EA"/>
    <w:rsid w:val="00393C2F"/>
    <w:rsid w:val="00394C24"/>
    <w:rsid w:val="00396023"/>
    <w:rsid w:val="003A0F69"/>
    <w:rsid w:val="003A1160"/>
    <w:rsid w:val="003A4553"/>
    <w:rsid w:val="003A5F5E"/>
    <w:rsid w:val="003B575E"/>
    <w:rsid w:val="003C510E"/>
    <w:rsid w:val="003C6689"/>
    <w:rsid w:val="003D1273"/>
    <w:rsid w:val="003D25F7"/>
    <w:rsid w:val="003D34A8"/>
    <w:rsid w:val="003E1920"/>
    <w:rsid w:val="003E64AD"/>
    <w:rsid w:val="003F5111"/>
    <w:rsid w:val="003F7397"/>
    <w:rsid w:val="004010D6"/>
    <w:rsid w:val="00401B03"/>
    <w:rsid w:val="004025EB"/>
    <w:rsid w:val="00406C90"/>
    <w:rsid w:val="00412588"/>
    <w:rsid w:val="004178D7"/>
    <w:rsid w:val="00420541"/>
    <w:rsid w:val="00423EF2"/>
    <w:rsid w:val="0043766E"/>
    <w:rsid w:val="00441DBD"/>
    <w:rsid w:val="004425E5"/>
    <w:rsid w:val="00456963"/>
    <w:rsid w:val="0046429A"/>
    <w:rsid w:val="00471381"/>
    <w:rsid w:val="00477560"/>
    <w:rsid w:val="00480DA5"/>
    <w:rsid w:val="004816EA"/>
    <w:rsid w:val="00490868"/>
    <w:rsid w:val="00492A53"/>
    <w:rsid w:val="00497549"/>
    <w:rsid w:val="004A0C31"/>
    <w:rsid w:val="004B26C6"/>
    <w:rsid w:val="004B562C"/>
    <w:rsid w:val="004B74DD"/>
    <w:rsid w:val="004C40D3"/>
    <w:rsid w:val="004C4931"/>
    <w:rsid w:val="004D1890"/>
    <w:rsid w:val="004D3944"/>
    <w:rsid w:val="004D54DF"/>
    <w:rsid w:val="004D584F"/>
    <w:rsid w:val="004D5D1F"/>
    <w:rsid w:val="004E06A2"/>
    <w:rsid w:val="004E0B15"/>
    <w:rsid w:val="004E2C55"/>
    <w:rsid w:val="004E6401"/>
    <w:rsid w:val="004E65C0"/>
    <w:rsid w:val="004F04E5"/>
    <w:rsid w:val="004F28D6"/>
    <w:rsid w:val="004F3CE3"/>
    <w:rsid w:val="00501B4A"/>
    <w:rsid w:val="00504FB7"/>
    <w:rsid w:val="00505C35"/>
    <w:rsid w:val="00513052"/>
    <w:rsid w:val="00522FA6"/>
    <w:rsid w:val="00524D31"/>
    <w:rsid w:val="00527582"/>
    <w:rsid w:val="00531831"/>
    <w:rsid w:val="005330EA"/>
    <w:rsid w:val="00544BF7"/>
    <w:rsid w:val="0054577F"/>
    <w:rsid w:val="00547DA2"/>
    <w:rsid w:val="00551AED"/>
    <w:rsid w:val="00553D0F"/>
    <w:rsid w:val="00553F98"/>
    <w:rsid w:val="00555941"/>
    <w:rsid w:val="00555D30"/>
    <w:rsid w:val="00556C77"/>
    <w:rsid w:val="00562C7F"/>
    <w:rsid w:val="00564BE5"/>
    <w:rsid w:val="00566BBA"/>
    <w:rsid w:val="00570609"/>
    <w:rsid w:val="0057060A"/>
    <w:rsid w:val="00573BED"/>
    <w:rsid w:val="00574169"/>
    <w:rsid w:val="005754ED"/>
    <w:rsid w:val="00586E07"/>
    <w:rsid w:val="005876AF"/>
    <w:rsid w:val="005914CC"/>
    <w:rsid w:val="005926C6"/>
    <w:rsid w:val="00597B56"/>
    <w:rsid w:val="005A3D71"/>
    <w:rsid w:val="005B1722"/>
    <w:rsid w:val="005B3ACF"/>
    <w:rsid w:val="005C1DD4"/>
    <w:rsid w:val="005C389E"/>
    <w:rsid w:val="005D406A"/>
    <w:rsid w:val="005E7A6A"/>
    <w:rsid w:val="005F0D4B"/>
    <w:rsid w:val="005F76FD"/>
    <w:rsid w:val="005F7DA2"/>
    <w:rsid w:val="00600CF7"/>
    <w:rsid w:val="00603B49"/>
    <w:rsid w:val="00603F87"/>
    <w:rsid w:val="00613AF7"/>
    <w:rsid w:val="00622426"/>
    <w:rsid w:val="00622CCC"/>
    <w:rsid w:val="006268D7"/>
    <w:rsid w:val="00627B89"/>
    <w:rsid w:val="00631381"/>
    <w:rsid w:val="00642DB5"/>
    <w:rsid w:val="00643A5D"/>
    <w:rsid w:val="00645692"/>
    <w:rsid w:val="00646A48"/>
    <w:rsid w:val="00653355"/>
    <w:rsid w:val="00655B2F"/>
    <w:rsid w:val="00657990"/>
    <w:rsid w:val="006628B0"/>
    <w:rsid w:val="00672866"/>
    <w:rsid w:val="006754E4"/>
    <w:rsid w:val="00681326"/>
    <w:rsid w:val="00686503"/>
    <w:rsid w:val="006901B2"/>
    <w:rsid w:val="006945E8"/>
    <w:rsid w:val="00694E4B"/>
    <w:rsid w:val="006A0E87"/>
    <w:rsid w:val="006A1C74"/>
    <w:rsid w:val="006A1DC2"/>
    <w:rsid w:val="006A1FEB"/>
    <w:rsid w:val="006A44D3"/>
    <w:rsid w:val="006A5BC0"/>
    <w:rsid w:val="006A7553"/>
    <w:rsid w:val="006B4788"/>
    <w:rsid w:val="006C0409"/>
    <w:rsid w:val="006C0F43"/>
    <w:rsid w:val="006C2CB0"/>
    <w:rsid w:val="006D0543"/>
    <w:rsid w:val="006D1916"/>
    <w:rsid w:val="006D1F0D"/>
    <w:rsid w:val="006D6AE0"/>
    <w:rsid w:val="006E6939"/>
    <w:rsid w:val="006E6EC3"/>
    <w:rsid w:val="006E792E"/>
    <w:rsid w:val="006E7A6D"/>
    <w:rsid w:val="006F1B32"/>
    <w:rsid w:val="006F4451"/>
    <w:rsid w:val="006F7818"/>
    <w:rsid w:val="00704A75"/>
    <w:rsid w:val="0070619B"/>
    <w:rsid w:val="00711058"/>
    <w:rsid w:val="00725370"/>
    <w:rsid w:val="00726222"/>
    <w:rsid w:val="00727420"/>
    <w:rsid w:val="007319A4"/>
    <w:rsid w:val="00732851"/>
    <w:rsid w:val="007437B3"/>
    <w:rsid w:val="00744D62"/>
    <w:rsid w:val="00746442"/>
    <w:rsid w:val="00747279"/>
    <w:rsid w:val="00747B19"/>
    <w:rsid w:val="007518F1"/>
    <w:rsid w:val="007531E0"/>
    <w:rsid w:val="00755ECD"/>
    <w:rsid w:val="00756349"/>
    <w:rsid w:val="007636FB"/>
    <w:rsid w:val="00764FDB"/>
    <w:rsid w:val="00765FB2"/>
    <w:rsid w:val="00767BA7"/>
    <w:rsid w:val="00773829"/>
    <w:rsid w:val="007749D8"/>
    <w:rsid w:val="00776828"/>
    <w:rsid w:val="00781648"/>
    <w:rsid w:val="007852CD"/>
    <w:rsid w:val="007858B1"/>
    <w:rsid w:val="00786977"/>
    <w:rsid w:val="007904FA"/>
    <w:rsid w:val="00791BCA"/>
    <w:rsid w:val="007A2D9D"/>
    <w:rsid w:val="007A716E"/>
    <w:rsid w:val="007B1CD6"/>
    <w:rsid w:val="007B430C"/>
    <w:rsid w:val="007B53F8"/>
    <w:rsid w:val="007B57CF"/>
    <w:rsid w:val="007C4322"/>
    <w:rsid w:val="007C43D9"/>
    <w:rsid w:val="007E5991"/>
    <w:rsid w:val="007E67F0"/>
    <w:rsid w:val="007F0798"/>
    <w:rsid w:val="007F0BFC"/>
    <w:rsid w:val="007F0CFA"/>
    <w:rsid w:val="007F125E"/>
    <w:rsid w:val="007F1608"/>
    <w:rsid w:val="007F2E15"/>
    <w:rsid w:val="007F4334"/>
    <w:rsid w:val="00804AAC"/>
    <w:rsid w:val="0080622F"/>
    <w:rsid w:val="00810E7E"/>
    <w:rsid w:val="00811CB2"/>
    <w:rsid w:val="008134C9"/>
    <w:rsid w:val="00813A55"/>
    <w:rsid w:val="00815F2F"/>
    <w:rsid w:val="0081679B"/>
    <w:rsid w:val="00825282"/>
    <w:rsid w:val="00825FA3"/>
    <w:rsid w:val="00826DB1"/>
    <w:rsid w:val="008273C5"/>
    <w:rsid w:val="0083292C"/>
    <w:rsid w:val="00835F22"/>
    <w:rsid w:val="0083611C"/>
    <w:rsid w:val="00837185"/>
    <w:rsid w:val="00842080"/>
    <w:rsid w:val="0084589D"/>
    <w:rsid w:val="00846B43"/>
    <w:rsid w:val="008473C5"/>
    <w:rsid w:val="00850AEE"/>
    <w:rsid w:val="00850E4C"/>
    <w:rsid w:val="00854AFD"/>
    <w:rsid w:val="00861805"/>
    <w:rsid w:val="00863089"/>
    <w:rsid w:val="0086504F"/>
    <w:rsid w:val="00865200"/>
    <w:rsid w:val="00870E91"/>
    <w:rsid w:val="008711FD"/>
    <w:rsid w:val="00871724"/>
    <w:rsid w:val="00872D84"/>
    <w:rsid w:val="00881BD0"/>
    <w:rsid w:val="00882D71"/>
    <w:rsid w:val="008832A9"/>
    <w:rsid w:val="00883D76"/>
    <w:rsid w:val="008850B7"/>
    <w:rsid w:val="00891086"/>
    <w:rsid w:val="0089129B"/>
    <w:rsid w:val="008926E6"/>
    <w:rsid w:val="0089387B"/>
    <w:rsid w:val="00894658"/>
    <w:rsid w:val="00895291"/>
    <w:rsid w:val="00896532"/>
    <w:rsid w:val="008A3467"/>
    <w:rsid w:val="008A7591"/>
    <w:rsid w:val="008B7270"/>
    <w:rsid w:val="008B7ACE"/>
    <w:rsid w:val="008C69A2"/>
    <w:rsid w:val="008C71A3"/>
    <w:rsid w:val="008D0694"/>
    <w:rsid w:val="008D425A"/>
    <w:rsid w:val="008D574B"/>
    <w:rsid w:val="008D6EBD"/>
    <w:rsid w:val="008E1635"/>
    <w:rsid w:val="008E3CD3"/>
    <w:rsid w:val="008E4CFA"/>
    <w:rsid w:val="008E4FA8"/>
    <w:rsid w:val="008E71D2"/>
    <w:rsid w:val="008F0D44"/>
    <w:rsid w:val="009002E9"/>
    <w:rsid w:val="00901B6E"/>
    <w:rsid w:val="00903370"/>
    <w:rsid w:val="009048DE"/>
    <w:rsid w:val="009127BF"/>
    <w:rsid w:val="00914CCF"/>
    <w:rsid w:val="00914DB9"/>
    <w:rsid w:val="009175BC"/>
    <w:rsid w:val="00924FF7"/>
    <w:rsid w:val="0092679B"/>
    <w:rsid w:val="009315E1"/>
    <w:rsid w:val="009359F1"/>
    <w:rsid w:val="00935C9B"/>
    <w:rsid w:val="00944433"/>
    <w:rsid w:val="009457B5"/>
    <w:rsid w:val="00947B6B"/>
    <w:rsid w:val="00951E3B"/>
    <w:rsid w:val="00952421"/>
    <w:rsid w:val="00955EA8"/>
    <w:rsid w:val="00955FB9"/>
    <w:rsid w:val="009565C2"/>
    <w:rsid w:val="00957338"/>
    <w:rsid w:val="0097250B"/>
    <w:rsid w:val="0097419E"/>
    <w:rsid w:val="0097462B"/>
    <w:rsid w:val="009753E7"/>
    <w:rsid w:val="0098363D"/>
    <w:rsid w:val="00991922"/>
    <w:rsid w:val="00994EF1"/>
    <w:rsid w:val="009953D8"/>
    <w:rsid w:val="0099575A"/>
    <w:rsid w:val="00997263"/>
    <w:rsid w:val="009A06E2"/>
    <w:rsid w:val="009A2EED"/>
    <w:rsid w:val="009A3EEC"/>
    <w:rsid w:val="009A7960"/>
    <w:rsid w:val="009B0F24"/>
    <w:rsid w:val="009B4120"/>
    <w:rsid w:val="009B4A99"/>
    <w:rsid w:val="009B5569"/>
    <w:rsid w:val="009C0E80"/>
    <w:rsid w:val="009C278E"/>
    <w:rsid w:val="009C4BEF"/>
    <w:rsid w:val="009C6F3D"/>
    <w:rsid w:val="009D23E4"/>
    <w:rsid w:val="009D3845"/>
    <w:rsid w:val="009E1C1E"/>
    <w:rsid w:val="009F1353"/>
    <w:rsid w:val="009F3B14"/>
    <w:rsid w:val="009F5288"/>
    <w:rsid w:val="00A0186C"/>
    <w:rsid w:val="00A03E12"/>
    <w:rsid w:val="00A03E4E"/>
    <w:rsid w:val="00A04BDA"/>
    <w:rsid w:val="00A119BA"/>
    <w:rsid w:val="00A11C36"/>
    <w:rsid w:val="00A17588"/>
    <w:rsid w:val="00A22730"/>
    <w:rsid w:val="00A22A98"/>
    <w:rsid w:val="00A2312C"/>
    <w:rsid w:val="00A25195"/>
    <w:rsid w:val="00A27F9D"/>
    <w:rsid w:val="00A3323B"/>
    <w:rsid w:val="00A363B5"/>
    <w:rsid w:val="00A40C72"/>
    <w:rsid w:val="00A46CBE"/>
    <w:rsid w:val="00A65718"/>
    <w:rsid w:val="00A65EB2"/>
    <w:rsid w:val="00A70A42"/>
    <w:rsid w:val="00A72F57"/>
    <w:rsid w:val="00A82DB1"/>
    <w:rsid w:val="00A83E2A"/>
    <w:rsid w:val="00A84D8B"/>
    <w:rsid w:val="00A84E9A"/>
    <w:rsid w:val="00A864FE"/>
    <w:rsid w:val="00A94E55"/>
    <w:rsid w:val="00A955BD"/>
    <w:rsid w:val="00A96A7D"/>
    <w:rsid w:val="00A96C16"/>
    <w:rsid w:val="00AA0C9B"/>
    <w:rsid w:val="00AA6873"/>
    <w:rsid w:val="00AA6EF9"/>
    <w:rsid w:val="00AB14B5"/>
    <w:rsid w:val="00AB2089"/>
    <w:rsid w:val="00AB592D"/>
    <w:rsid w:val="00AB628F"/>
    <w:rsid w:val="00AC77CB"/>
    <w:rsid w:val="00AD6DB1"/>
    <w:rsid w:val="00AE33C0"/>
    <w:rsid w:val="00AE457F"/>
    <w:rsid w:val="00AF0B47"/>
    <w:rsid w:val="00AF17D8"/>
    <w:rsid w:val="00AF1E57"/>
    <w:rsid w:val="00AF2057"/>
    <w:rsid w:val="00AF6396"/>
    <w:rsid w:val="00B00456"/>
    <w:rsid w:val="00B00B52"/>
    <w:rsid w:val="00B027B4"/>
    <w:rsid w:val="00B02C41"/>
    <w:rsid w:val="00B05588"/>
    <w:rsid w:val="00B062FF"/>
    <w:rsid w:val="00B07781"/>
    <w:rsid w:val="00B07AB3"/>
    <w:rsid w:val="00B17FB9"/>
    <w:rsid w:val="00B20FDC"/>
    <w:rsid w:val="00B22D6E"/>
    <w:rsid w:val="00B26A14"/>
    <w:rsid w:val="00B30281"/>
    <w:rsid w:val="00B340D3"/>
    <w:rsid w:val="00B47D9A"/>
    <w:rsid w:val="00B55275"/>
    <w:rsid w:val="00B63593"/>
    <w:rsid w:val="00B73710"/>
    <w:rsid w:val="00B77EA1"/>
    <w:rsid w:val="00B804E2"/>
    <w:rsid w:val="00B80BDD"/>
    <w:rsid w:val="00B80F6C"/>
    <w:rsid w:val="00B84549"/>
    <w:rsid w:val="00B85998"/>
    <w:rsid w:val="00B85B15"/>
    <w:rsid w:val="00B87227"/>
    <w:rsid w:val="00B8779D"/>
    <w:rsid w:val="00B931C1"/>
    <w:rsid w:val="00B93BD2"/>
    <w:rsid w:val="00B94D8D"/>
    <w:rsid w:val="00B958D7"/>
    <w:rsid w:val="00BA380A"/>
    <w:rsid w:val="00BA4A95"/>
    <w:rsid w:val="00BA65A8"/>
    <w:rsid w:val="00BA78D2"/>
    <w:rsid w:val="00BB0F33"/>
    <w:rsid w:val="00BB2B45"/>
    <w:rsid w:val="00BB3387"/>
    <w:rsid w:val="00BB566E"/>
    <w:rsid w:val="00BC0E73"/>
    <w:rsid w:val="00BC2308"/>
    <w:rsid w:val="00BC263F"/>
    <w:rsid w:val="00BC2F65"/>
    <w:rsid w:val="00BC415F"/>
    <w:rsid w:val="00BD0410"/>
    <w:rsid w:val="00BD2C71"/>
    <w:rsid w:val="00BD332A"/>
    <w:rsid w:val="00BD5488"/>
    <w:rsid w:val="00BD7E83"/>
    <w:rsid w:val="00BE1735"/>
    <w:rsid w:val="00BE30E4"/>
    <w:rsid w:val="00BE3A59"/>
    <w:rsid w:val="00BE4C01"/>
    <w:rsid w:val="00BE5722"/>
    <w:rsid w:val="00BE69CA"/>
    <w:rsid w:val="00BF114C"/>
    <w:rsid w:val="00BF33C0"/>
    <w:rsid w:val="00C016F4"/>
    <w:rsid w:val="00C01855"/>
    <w:rsid w:val="00C01B57"/>
    <w:rsid w:val="00C02520"/>
    <w:rsid w:val="00C0287F"/>
    <w:rsid w:val="00C05A86"/>
    <w:rsid w:val="00C05E98"/>
    <w:rsid w:val="00C06221"/>
    <w:rsid w:val="00C10246"/>
    <w:rsid w:val="00C10FE0"/>
    <w:rsid w:val="00C11D13"/>
    <w:rsid w:val="00C124E6"/>
    <w:rsid w:val="00C1452A"/>
    <w:rsid w:val="00C17FF8"/>
    <w:rsid w:val="00C201A7"/>
    <w:rsid w:val="00C3021A"/>
    <w:rsid w:val="00C353C4"/>
    <w:rsid w:val="00C35702"/>
    <w:rsid w:val="00C36FF5"/>
    <w:rsid w:val="00C40EB0"/>
    <w:rsid w:val="00C43F21"/>
    <w:rsid w:val="00C443AA"/>
    <w:rsid w:val="00C45440"/>
    <w:rsid w:val="00C474D8"/>
    <w:rsid w:val="00C50D9A"/>
    <w:rsid w:val="00C53545"/>
    <w:rsid w:val="00C53C00"/>
    <w:rsid w:val="00C53E0E"/>
    <w:rsid w:val="00C53F6F"/>
    <w:rsid w:val="00C55A35"/>
    <w:rsid w:val="00C56134"/>
    <w:rsid w:val="00C60F61"/>
    <w:rsid w:val="00C61C4A"/>
    <w:rsid w:val="00C6317B"/>
    <w:rsid w:val="00C65E50"/>
    <w:rsid w:val="00C66C69"/>
    <w:rsid w:val="00C729BB"/>
    <w:rsid w:val="00C72DD8"/>
    <w:rsid w:val="00C73AF9"/>
    <w:rsid w:val="00C74955"/>
    <w:rsid w:val="00C74979"/>
    <w:rsid w:val="00C820ED"/>
    <w:rsid w:val="00C82ADD"/>
    <w:rsid w:val="00C82E5B"/>
    <w:rsid w:val="00C85070"/>
    <w:rsid w:val="00C927AA"/>
    <w:rsid w:val="00C94942"/>
    <w:rsid w:val="00C971F1"/>
    <w:rsid w:val="00C978AE"/>
    <w:rsid w:val="00C97C4A"/>
    <w:rsid w:val="00C97DC1"/>
    <w:rsid w:val="00CA2B3C"/>
    <w:rsid w:val="00CA353E"/>
    <w:rsid w:val="00CA5433"/>
    <w:rsid w:val="00CA76EC"/>
    <w:rsid w:val="00CB26B0"/>
    <w:rsid w:val="00CB416D"/>
    <w:rsid w:val="00CB57F7"/>
    <w:rsid w:val="00CC6441"/>
    <w:rsid w:val="00CD1894"/>
    <w:rsid w:val="00CE0F3D"/>
    <w:rsid w:val="00CE6E37"/>
    <w:rsid w:val="00CF7071"/>
    <w:rsid w:val="00D02EEF"/>
    <w:rsid w:val="00D06519"/>
    <w:rsid w:val="00D10D21"/>
    <w:rsid w:val="00D1353C"/>
    <w:rsid w:val="00D16C3B"/>
    <w:rsid w:val="00D17976"/>
    <w:rsid w:val="00D21335"/>
    <w:rsid w:val="00D226E8"/>
    <w:rsid w:val="00D25C4C"/>
    <w:rsid w:val="00D26087"/>
    <w:rsid w:val="00D27185"/>
    <w:rsid w:val="00D3787A"/>
    <w:rsid w:val="00D42294"/>
    <w:rsid w:val="00D425F2"/>
    <w:rsid w:val="00D444D8"/>
    <w:rsid w:val="00D45343"/>
    <w:rsid w:val="00D45B74"/>
    <w:rsid w:val="00D46397"/>
    <w:rsid w:val="00D52877"/>
    <w:rsid w:val="00D53F5D"/>
    <w:rsid w:val="00D54FE9"/>
    <w:rsid w:val="00D55138"/>
    <w:rsid w:val="00D5748E"/>
    <w:rsid w:val="00D60ADA"/>
    <w:rsid w:val="00D72456"/>
    <w:rsid w:val="00D73EF2"/>
    <w:rsid w:val="00D770D4"/>
    <w:rsid w:val="00D7746C"/>
    <w:rsid w:val="00D81C12"/>
    <w:rsid w:val="00D8213A"/>
    <w:rsid w:val="00D823E0"/>
    <w:rsid w:val="00D85A19"/>
    <w:rsid w:val="00D9637B"/>
    <w:rsid w:val="00D97730"/>
    <w:rsid w:val="00DA10A8"/>
    <w:rsid w:val="00DA1A8E"/>
    <w:rsid w:val="00DB10A1"/>
    <w:rsid w:val="00DC44E0"/>
    <w:rsid w:val="00DC6E08"/>
    <w:rsid w:val="00DD0310"/>
    <w:rsid w:val="00DD4A88"/>
    <w:rsid w:val="00DD5B6E"/>
    <w:rsid w:val="00DE0A1A"/>
    <w:rsid w:val="00DE6DB2"/>
    <w:rsid w:val="00DF2807"/>
    <w:rsid w:val="00DF619D"/>
    <w:rsid w:val="00E01ED8"/>
    <w:rsid w:val="00E04CE8"/>
    <w:rsid w:val="00E05D7B"/>
    <w:rsid w:val="00E05EEB"/>
    <w:rsid w:val="00E0635C"/>
    <w:rsid w:val="00E1533C"/>
    <w:rsid w:val="00E1586C"/>
    <w:rsid w:val="00E22E10"/>
    <w:rsid w:val="00E23EB3"/>
    <w:rsid w:val="00E2417F"/>
    <w:rsid w:val="00E246FC"/>
    <w:rsid w:val="00E46A59"/>
    <w:rsid w:val="00E46CE2"/>
    <w:rsid w:val="00E51CF6"/>
    <w:rsid w:val="00E523C2"/>
    <w:rsid w:val="00E53508"/>
    <w:rsid w:val="00E67E0F"/>
    <w:rsid w:val="00E72999"/>
    <w:rsid w:val="00E763D9"/>
    <w:rsid w:val="00E86618"/>
    <w:rsid w:val="00E916EA"/>
    <w:rsid w:val="00E928D8"/>
    <w:rsid w:val="00E93A15"/>
    <w:rsid w:val="00E94076"/>
    <w:rsid w:val="00E9541B"/>
    <w:rsid w:val="00E96F09"/>
    <w:rsid w:val="00EB1EE0"/>
    <w:rsid w:val="00EB6434"/>
    <w:rsid w:val="00EC015D"/>
    <w:rsid w:val="00ED0135"/>
    <w:rsid w:val="00ED2669"/>
    <w:rsid w:val="00ED7726"/>
    <w:rsid w:val="00EE0864"/>
    <w:rsid w:val="00EE3DB7"/>
    <w:rsid w:val="00EE534C"/>
    <w:rsid w:val="00EE677D"/>
    <w:rsid w:val="00EE7834"/>
    <w:rsid w:val="00EF342A"/>
    <w:rsid w:val="00F15206"/>
    <w:rsid w:val="00F15D7C"/>
    <w:rsid w:val="00F21B54"/>
    <w:rsid w:val="00F21EB2"/>
    <w:rsid w:val="00F260D4"/>
    <w:rsid w:val="00F35979"/>
    <w:rsid w:val="00F412AF"/>
    <w:rsid w:val="00F42C1F"/>
    <w:rsid w:val="00F43D7D"/>
    <w:rsid w:val="00F43E13"/>
    <w:rsid w:val="00F444DA"/>
    <w:rsid w:val="00F45096"/>
    <w:rsid w:val="00F46516"/>
    <w:rsid w:val="00F50051"/>
    <w:rsid w:val="00F50E40"/>
    <w:rsid w:val="00F60E1E"/>
    <w:rsid w:val="00F64581"/>
    <w:rsid w:val="00F6735E"/>
    <w:rsid w:val="00F72203"/>
    <w:rsid w:val="00F747EB"/>
    <w:rsid w:val="00F76854"/>
    <w:rsid w:val="00F82806"/>
    <w:rsid w:val="00F92D78"/>
    <w:rsid w:val="00F93AB1"/>
    <w:rsid w:val="00F93B97"/>
    <w:rsid w:val="00FA0894"/>
    <w:rsid w:val="00FA5DF6"/>
    <w:rsid w:val="00FB4E85"/>
    <w:rsid w:val="00FB583F"/>
    <w:rsid w:val="00FC097B"/>
    <w:rsid w:val="00FC2538"/>
    <w:rsid w:val="00FD1DCC"/>
    <w:rsid w:val="00FD2D0B"/>
    <w:rsid w:val="00FD2FD0"/>
    <w:rsid w:val="00FD4E95"/>
    <w:rsid w:val="00FD618C"/>
    <w:rsid w:val="00FD7D65"/>
    <w:rsid w:val="00FE2FAB"/>
    <w:rsid w:val="00FE66DA"/>
    <w:rsid w:val="00FF0BA0"/>
    <w:rsid w:val="00FF22D1"/>
    <w:rsid w:val="00FF2860"/>
    <w:rsid w:val="00FF28EB"/>
    <w:rsid w:val="00FF447F"/>
    <w:rsid w:val="00FF56F3"/>
    <w:rsid w:val="00FF614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5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3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3C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353C4"/>
  </w:style>
  <w:style w:type="character" w:styleId="UyteHipercze">
    <w:name w:val="FollowedHyperlink"/>
    <w:basedOn w:val="Domylnaczcionkaakapitu"/>
    <w:uiPriority w:val="99"/>
    <w:semiHidden/>
    <w:unhideWhenUsed/>
    <w:rsid w:val="00C60F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F9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58D7"/>
    <w:rPr>
      <w:sz w:val="24"/>
      <w:szCs w:val="24"/>
    </w:rPr>
  </w:style>
  <w:style w:type="character" w:customStyle="1" w:styleId="dane">
    <w:name w:val="dane"/>
    <w:basedOn w:val="Domylnaczcionkaakapitu"/>
    <w:rsid w:val="00825F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C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C7F"/>
  </w:style>
  <w:style w:type="character" w:styleId="Odwoanieprzypisukocowego">
    <w:name w:val="endnote reference"/>
    <w:basedOn w:val="Domylnaczcionkaakapitu"/>
    <w:uiPriority w:val="99"/>
    <w:semiHidden/>
    <w:unhideWhenUsed/>
    <w:rsid w:val="00562C7F"/>
    <w:rPr>
      <w:vertAlign w:val="superscript"/>
    </w:rPr>
  </w:style>
  <w:style w:type="paragraph" w:customStyle="1" w:styleId="s2">
    <w:name w:val="s2"/>
    <w:basedOn w:val="Normalny"/>
    <w:rsid w:val="00C35702"/>
    <w:pPr>
      <w:spacing w:before="100" w:beforeAutospacing="1" w:after="100" w:afterAutospacing="1"/>
    </w:pPr>
  </w:style>
  <w:style w:type="character" w:customStyle="1" w:styleId="nc684nl6">
    <w:name w:val="nc684nl6"/>
    <w:basedOn w:val="Domylnaczcionkaakapitu"/>
    <w:rsid w:val="0097250B"/>
  </w:style>
  <w:style w:type="paragraph" w:customStyle="1" w:styleId="Poakapiciezlist">
    <w:name w:val="Po akapicie z listą"/>
    <w:basedOn w:val="Normalny"/>
    <w:qFormat/>
    <w:rsid w:val="00AB592D"/>
    <w:pPr>
      <w:spacing w:before="80"/>
      <w:ind w:left="357"/>
      <w:jc w:val="both"/>
    </w:pPr>
    <w:rPr>
      <w:rFonts w:asciiTheme="minorHAnsi" w:eastAsiaTheme="minorHAnsi" w:hAnsiTheme="minorHAnsi" w:cstheme="minorBidi"/>
      <w:color w:val="000000" w:themeColor="text1"/>
      <w:sz w:val="20"/>
      <w:lang w:eastAsia="en-US"/>
    </w:rPr>
  </w:style>
  <w:style w:type="paragraph" w:customStyle="1" w:styleId="Akapitzwyky">
    <w:name w:val="Akapit zwykły"/>
    <w:basedOn w:val="Normalny"/>
    <w:qFormat/>
    <w:rsid w:val="00471381"/>
    <w:pPr>
      <w:spacing w:before="120" w:line="264" w:lineRule="auto"/>
      <w:jc w:val="both"/>
    </w:pPr>
    <w:rPr>
      <w:rFonts w:asciiTheme="minorHAnsi" w:hAnsiTheme="minorHAnsi"/>
      <w:noProof/>
    </w:rPr>
  </w:style>
  <w:style w:type="paragraph" w:customStyle="1" w:styleId="Wtabelitekst">
    <w:name w:val="W tabeli tekst"/>
    <w:basedOn w:val="Normalny"/>
    <w:qFormat/>
    <w:rsid w:val="00063307"/>
    <w:rPr>
      <w:rFonts w:asciiTheme="minorHAnsi" w:hAnsiTheme="minorHAnsi" w:cstheme="minorHAnsi"/>
      <w:sz w:val="18"/>
    </w:rPr>
  </w:style>
  <w:style w:type="paragraph" w:customStyle="1" w:styleId="Wtabelinagwekkolumny">
    <w:name w:val="W tabeli nagłówek kolumny"/>
    <w:basedOn w:val="Normalny"/>
    <w:qFormat/>
    <w:rsid w:val="00063307"/>
    <w:pPr>
      <w:keepNext/>
      <w:jc w:val="center"/>
    </w:pPr>
    <w:rPr>
      <w:rFonts w:asciiTheme="minorHAnsi" w:hAnsiTheme="minorHAnsi" w:cs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1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5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9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2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9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89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20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g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5098</Characters>
  <Application>Microsoft Office Word</Application>
  <DocSecurity>2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lug</Company>
  <LinksUpToDate>false</LinksUpToDate>
  <CharactersWithSpaces>5952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3</cp:revision>
  <cp:lastPrinted>2022-02-11T07:38:00Z</cp:lastPrinted>
  <dcterms:created xsi:type="dcterms:W3CDTF">2023-02-15T10:14:00Z</dcterms:created>
  <dcterms:modified xsi:type="dcterms:W3CDTF">2023-02-15T10:14:00Z</dcterms:modified>
</cp:coreProperties>
</file>