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D09A" w14:textId="65CCDD46" w:rsidR="0098363D" w:rsidRDefault="00FF447F" w:rsidP="00412588">
      <w:pPr>
        <w:spacing w:line="276" w:lineRule="auto"/>
        <w:jc w:val="right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3E64AD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r w:rsidR="00B1532A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Press </w:t>
      </w:r>
      <w:proofErr w:type="spellStart"/>
      <w:r w:rsidR="00B1532A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release</w:t>
      </w:r>
      <w:proofErr w:type="spellEnd"/>
    </w:p>
    <w:p w14:paraId="1DD8CA7C" w14:textId="45171993" w:rsidR="002E3000" w:rsidRDefault="002E3000" w:rsidP="00412588">
      <w:pPr>
        <w:spacing w:line="276" w:lineRule="auto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12588">
        <w:rPr>
          <w:rFonts w:asciiTheme="minorHAnsi" w:hAnsiTheme="minorHAnsi" w:cstheme="minorHAnsi"/>
          <w:color w:val="000000" w:themeColor="text1"/>
          <w:sz w:val="20"/>
          <w:szCs w:val="20"/>
        </w:rPr>
        <w:t>Zielona Góra</w:t>
      </w:r>
      <w:r w:rsidR="00FF28EB" w:rsidRPr="0041258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B1532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August </w:t>
      </w:r>
      <w:r w:rsidR="004F1A1D">
        <w:rPr>
          <w:rFonts w:asciiTheme="minorHAnsi" w:hAnsiTheme="minorHAnsi" w:cstheme="minorHAnsi"/>
          <w:color w:val="000000" w:themeColor="text1"/>
          <w:sz w:val="20"/>
          <w:szCs w:val="20"/>
        </w:rPr>
        <w:t>11</w:t>
      </w:r>
      <w:r w:rsidR="00B1532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412588">
        <w:rPr>
          <w:rFonts w:asciiTheme="minorHAnsi" w:hAnsiTheme="minorHAnsi" w:cstheme="minorHAnsi"/>
          <w:color w:val="000000" w:themeColor="text1"/>
          <w:sz w:val="20"/>
          <w:szCs w:val="20"/>
        </w:rPr>
        <w:t>202</w:t>
      </w:r>
      <w:r w:rsidR="002B1B76" w:rsidRPr="00412588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</w:p>
    <w:p w14:paraId="70863E9F" w14:textId="77777777" w:rsidR="0098363D" w:rsidRPr="0098363D" w:rsidRDefault="0098363D" w:rsidP="00412588">
      <w:pPr>
        <w:spacing w:line="276" w:lineRule="auto"/>
        <w:jc w:val="right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</w:p>
    <w:p w14:paraId="0F380F47" w14:textId="77777777" w:rsidR="00AB592D" w:rsidRPr="003E64AD" w:rsidRDefault="00AB592D" w:rsidP="00412588">
      <w:pP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4AED9A0" w14:textId="092A0F39" w:rsidR="00AB592D" w:rsidRPr="003E64AD" w:rsidRDefault="00B1532A" w:rsidP="00412588">
      <w:pPr>
        <w:spacing w:line="276" w:lineRule="auto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proofErr w:type="spellStart"/>
      <w:r>
        <w:rPr>
          <w:rFonts w:asciiTheme="minorHAnsi" w:hAnsiTheme="minorHAnsi" w:cstheme="minorHAnsi"/>
          <w:color w:val="7F7F7F" w:themeColor="text1" w:themeTint="80"/>
          <w:sz w:val="20"/>
          <w:szCs w:val="20"/>
        </w:rPr>
        <w:t>Consolidated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0"/>
          <w:szCs w:val="20"/>
        </w:rPr>
        <w:t>financial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0"/>
          <w:szCs w:val="20"/>
        </w:rPr>
        <w:t>results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of LUG S.A. Capital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0"/>
          <w:szCs w:val="20"/>
        </w:rPr>
        <w:t>Group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in the II </w:t>
      </w:r>
      <w:proofErr w:type="spellStart"/>
      <w:r>
        <w:rPr>
          <w:rFonts w:asciiTheme="minorHAnsi" w:hAnsiTheme="minorHAnsi" w:cstheme="minorHAnsi"/>
          <w:color w:val="7F7F7F" w:themeColor="text1" w:themeTint="80"/>
          <w:sz w:val="20"/>
          <w:szCs w:val="20"/>
        </w:rPr>
        <w:t>quarter</w:t>
      </w:r>
      <w:proofErr w:type="spellEnd"/>
      <w:r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of 2022</w:t>
      </w:r>
    </w:p>
    <w:p w14:paraId="7B19B0CB" w14:textId="1251B65C" w:rsidR="00FD7D65" w:rsidRDefault="00B1532A" w:rsidP="004125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1532A">
        <w:rPr>
          <w:rFonts w:asciiTheme="minorHAnsi" w:hAnsiTheme="minorHAnsi" w:cstheme="minorHAnsi"/>
          <w:b/>
          <w:bCs/>
          <w:sz w:val="22"/>
          <w:szCs w:val="22"/>
        </w:rPr>
        <w:t xml:space="preserve">In the </w:t>
      </w:r>
      <w:r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Pr="00B153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1532A">
        <w:rPr>
          <w:rFonts w:asciiTheme="minorHAnsi" w:hAnsiTheme="minorHAnsi" w:cstheme="minorHAnsi"/>
          <w:b/>
          <w:bCs/>
          <w:sz w:val="22"/>
          <w:szCs w:val="22"/>
        </w:rPr>
        <w:t>quarter</w:t>
      </w:r>
      <w:proofErr w:type="spellEnd"/>
      <w:r w:rsidRPr="00B1532A">
        <w:rPr>
          <w:rFonts w:asciiTheme="minorHAnsi" w:hAnsiTheme="minorHAnsi" w:cstheme="minorHAnsi"/>
          <w:b/>
          <w:bCs/>
          <w:sz w:val="22"/>
          <w:szCs w:val="22"/>
        </w:rPr>
        <w:t xml:space="preserve"> of 2022, the LUG </w:t>
      </w:r>
      <w:proofErr w:type="spellStart"/>
      <w:r w:rsidRPr="00B1532A">
        <w:rPr>
          <w:rFonts w:asciiTheme="minorHAnsi" w:hAnsiTheme="minorHAnsi" w:cstheme="minorHAnsi"/>
          <w:b/>
          <w:bCs/>
          <w:sz w:val="22"/>
          <w:szCs w:val="22"/>
        </w:rPr>
        <w:t>Group</w:t>
      </w:r>
      <w:proofErr w:type="spellEnd"/>
      <w:r w:rsidRPr="00B153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1532A">
        <w:rPr>
          <w:rFonts w:asciiTheme="minorHAnsi" w:hAnsiTheme="minorHAnsi" w:cstheme="minorHAnsi"/>
          <w:b/>
          <w:bCs/>
          <w:sz w:val="22"/>
          <w:szCs w:val="22"/>
        </w:rPr>
        <w:t>recorded</w:t>
      </w:r>
      <w:proofErr w:type="spellEnd"/>
      <w:r w:rsidRPr="00B1532A">
        <w:rPr>
          <w:rFonts w:asciiTheme="minorHAnsi" w:hAnsiTheme="minorHAnsi" w:cstheme="minorHAnsi"/>
          <w:b/>
          <w:bCs/>
          <w:sz w:val="22"/>
          <w:szCs w:val="22"/>
        </w:rPr>
        <w:t xml:space="preserve"> the </w:t>
      </w:r>
      <w:proofErr w:type="spellStart"/>
      <w:r w:rsidRPr="00B1532A">
        <w:rPr>
          <w:rFonts w:asciiTheme="minorHAnsi" w:hAnsiTheme="minorHAnsi" w:cstheme="minorHAnsi"/>
          <w:b/>
          <w:bCs/>
          <w:sz w:val="22"/>
          <w:szCs w:val="22"/>
        </w:rPr>
        <w:t>highest</w:t>
      </w:r>
      <w:proofErr w:type="spellEnd"/>
      <w:r w:rsidRPr="00B153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1532A">
        <w:rPr>
          <w:rFonts w:asciiTheme="minorHAnsi" w:hAnsiTheme="minorHAnsi" w:cstheme="minorHAnsi"/>
          <w:b/>
          <w:bCs/>
          <w:sz w:val="22"/>
          <w:szCs w:val="22"/>
        </w:rPr>
        <w:t>quarterly</w:t>
      </w:r>
      <w:proofErr w:type="spellEnd"/>
      <w:r w:rsidRPr="00B153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1532A">
        <w:rPr>
          <w:rFonts w:asciiTheme="minorHAnsi" w:hAnsiTheme="minorHAnsi" w:cstheme="minorHAnsi"/>
          <w:b/>
          <w:bCs/>
          <w:sz w:val="22"/>
          <w:szCs w:val="22"/>
        </w:rPr>
        <w:t>level</w:t>
      </w:r>
      <w:proofErr w:type="spellEnd"/>
      <w:r w:rsidRPr="00B1532A">
        <w:rPr>
          <w:rFonts w:asciiTheme="minorHAnsi" w:hAnsiTheme="minorHAnsi" w:cstheme="minorHAnsi"/>
          <w:b/>
          <w:bCs/>
          <w:sz w:val="22"/>
          <w:szCs w:val="22"/>
        </w:rPr>
        <w:t xml:space="preserve"> of </w:t>
      </w:r>
      <w:proofErr w:type="spellStart"/>
      <w:r w:rsidRPr="00B1532A">
        <w:rPr>
          <w:rFonts w:asciiTheme="minorHAnsi" w:hAnsiTheme="minorHAnsi" w:cstheme="minorHAnsi"/>
          <w:b/>
          <w:bCs/>
          <w:sz w:val="22"/>
          <w:szCs w:val="22"/>
        </w:rPr>
        <w:t>gross</w:t>
      </w:r>
      <w:proofErr w:type="spellEnd"/>
      <w:r w:rsidRPr="00B1532A">
        <w:rPr>
          <w:rFonts w:asciiTheme="minorHAnsi" w:hAnsiTheme="minorHAnsi" w:cstheme="minorHAnsi"/>
          <w:b/>
          <w:bCs/>
          <w:sz w:val="22"/>
          <w:szCs w:val="22"/>
        </w:rPr>
        <w:t xml:space="preserve"> profit on </w:t>
      </w:r>
      <w:proofErr w:type="spellStart"/>
      <w:r w:rsidRPr="00B1532A">
        <w:rPr>
          <w:rFonts w:asciiTheme="minorHAnsi" w:hAnsiTheme="minorHAnsi" w:cstheme="minorHAnsi"/>
          <w:b/>
          <w:bCs/>
          <w:sz w:val="22"/>
          <w:szCs w:val="22"/>
        </w:rPr>
        <w:t>sales</w:t>
      </w:r>
      <w:proofErr w:type="spellEnd"/>
    </w:p>
    <w:p w14:paraId="63CD9D5E" w14:textId="77777777" w:rsidR="00B1532A" w:rsidRPr="00412588" w:rsidRDefault="00B1532A" w:rsidP="00412588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</w:p>
    <w:p w14:paraId="21B8BC74" w14:textId="79A8B655" w:rsidR="0098363D" w:rsidRPr="00412588" w:rsidRDefault="00B1532A" w:rsidP="003273D1">
      <w:pPr>
        <w:pStyle w:val="Akapitzlist"/>
        <w:numPr>
          <w:ilvl w:val="0"/>
          <w:numId w:val="2"/>
        </w:numPr>
        <w:spacing w:before="8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PLN </w:t>
      </w:r>
      <w:r w:rsidR="00FD7D65"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>59,74 mln</w:t>
      </w:r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of </w:t>
      </w:r>
      <w:proofErr w:type="spellStart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revenues</w:t>
      </w:r>
      <w:proofErr w:type="spellEnd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on </w:t>
      </w:r>
      <w:proofErr w:type="spellStart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sales</w:t>
      </w:r>
      <w:proofErr w:type="spellEnd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in the II </w:t>
      </w:r>
      <w:proofErr w:type="spellStart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quarter</w:t>
      </w:r>
      <w:proofErr w:type="spellEnd"/>
      <w:r w:rsidR="00FD7D65" w:rsidRPr="00412588">
        <w:rPr>
          <w:rFonts w:asciiTheme="minorHAnsi" w:hAnsiTheme="minorHAnsi" w:cstheme="minorHAnsi"/>
          <w:b/>
          <w:bCs/>
          <w:sz w:val="20"/>
          <w:szCs w:val="20"/>
        </w:rPr>
        <w:t xml:space="preserve"> 202</w:t>
      </w:r>
      <w:r w:rsidR="003A5F5E" w:rsidRPr="00412588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FD7D65" w:rsidRPr="00412588">
        <w:rPr>
          <w:rFonts w:asciiTheme="minorHAnsi" w:hAnsiTheme="minorHAnsi" w:cstheme="minorHAnsi"/>
          <w:b/>
          <w:bCs/>
          <w:sz w:val="20"/>
          <w:szCs w:val="20"/>
        </w:rPr>
        <w:t xml:space="preserve"> (+26,1% </w:t>
      </w:r>
      <w:r>
        <w:rPr>
          <w:rFonts w:asciiTheme="minorHAnsi" w:hAnsiTheme="minorHAnsi" w:cstheme="minorHAnsi"/>
          <w:b/>
          <w:bCs/>
          <w:sz w:val="20"/>
          <w:szCs w:val="20"/>
        </w:rPr>
        <w:t>y/y</w:t>
      </w:r>
      <w:r w:rsidR="00FD7D65" w:rsidRPr="00412588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>;</w:t>
      </w:r>
    </w:p>
    <w:p w14:paraId="58845B94" w14:textId="416629AA" w:rsidR="00FD7D65" w:rsidRPr="00412588" w:rsidRDefault="00B1532A" w:rsidP="003273D1">
      <w:pPr>
        <w:pStyle w:val="Akapitzlist"/>
        <w:numPr>
          <w:ilvl w:val="0"/>
          <w:numId w:val="2"/>
        </w:numPr>
        <w:spacing w:before="80" w:line="276" w:lineRule="auto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PLN </w:t>
      </w:r>
      <w:r w:rsidR="00FD7D65"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23,18 mln </w:t>
      </w:r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of </w:t>
      </w:r>
      <w:proofErr w:type="spellStart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gross</w:t>
      </w:r>
      <w:proofErr w:type="spellEnd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profit on </w:t>
      </w:r>
      <w:proofErr w:type="spellStart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sales</w:t>
      </w:r>
      <w:proofErr w:type="spellEnd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in the</w:t>
      </w:r>
      <w:r w:rsidR="003A5F5E"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II </w:t>
      </w:r>
      <w:proofErr w:type="spellStart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quarter</w:t>
      </w:r>
      <w:proofErr w:type="spellEnd"/>
      <w:r w:rsidR="003A5F5E"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2022</w:t>
      </w:r>
      <w:r w:rsidR="00FD7D65"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, </w:t>
      </w:r>
      <w:proofErr w:type="spellStart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increase</w:t>
      </w:r>
      <w:proofErr w:type="spellEnd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by</w:t>
      </w:r>
      <w:r w:rsidR="00FD7D65"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r w:rsidR="00B94D8D"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>12</w:t>
      </w:r>
      <w:r w:rsidR="00FD7D65"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>,</w:t>
      </w:r>
      <w:r w:rsidR="00B94D8D"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>6</w:t>
      </w:r>
      <w:r w:rsidR="00FD7D65"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% </w:t>
      </w:r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y/y</w:t>
      </w:r>
      <w:r w:rsidR="001B5996">
        <w:rPr>
          <w:rFonts w:asciiTheme="minorHAnsi" w:eastAsiaTheme="minorEastAsia" w:hAnsiTheme="minorHAnsi" w:cstheme="minorHAnsi"/>
          <w:b/>
          <w:bCs/>
          <w:sz w:val="20"/>
          <w:szCs w:val="20"/>
        </w:rPr>
        <w:t>;</w:t>
      </w:r>
      <w:r w:rsidR="00B85998"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</w:p>
    <w:p w14:paraId="0D8771CE" w14:textId="7DA4207A" w:rsidR="00B94D8D" w:rsidRPr="00412588" w:rsidRDefault="00B1532A" w:rsidP="003273D1">
      <w:pPr>
        <w:pStyle w:val="Akapitzlist"/>
        <w:numPr>
          <w:ilvl w:val="0"/>
          <w:numId w:val="2"/>
        </w:numPr>
        <w:spacing w:before="80" w:line="276" w:lineRule="auto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Net profit </w:t>
      </w:r>
      <w:proofErr w:type="spellStart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amounted</w:t>
      </w:r>
      <w:proofErr w:type="spellEnd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PLN</w:t>
      </w:r>
      <w:r w:rsidR="00B94D8D"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r w:rsidR="006F33D3">
        <w:rPr>
          <w:rFonts w:asciiTheme="minorHAnsi" w:eastAsiaTheme="minorEastAsia" w:hAnsiTheme="minorHAnsi" w:cstheme="minorHAnsi"/>
          <w:b/>
          <w:bCs/>
          <w:sz w:val="20"/>
          <w:szCs w:val="20"/>
        </w:rPr>
        <w:t>0,85 mln</w:t>
      </w:r>
      <w:r w:rsidR="00B94D8D"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in the</w:t>
      </w:r>
      <w:r w:rsidR="003A5F5E"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II </w:t>
      </w:r>
      <w:proofErr w:type="spellStart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quarter</w:t>
      </w:r>
      <w:proofErr w:type="spellEnd"/>
      <w:r w:rsidR="003A5F5E"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2022</w:t>
      </w:r>
      <w:r w:rsidR="00B94D8D"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(+</w:t>
      </w:r>
      <w:r w:rsidR="006F33D3">
        <w:rPr>
          <w:rFonts w:asciiTheme="minorHAnsi" w:eastAsiaTheme="minorEastAsia" w:hAnsiTheme="minorHAnsi" w:cstheme="minorHAnsi"/>
          <w:b/>
          <w:bCs/>
          <w:sz w:val="20"/>
          <w:szCs w:val="20"/>
        </w:rPr>
        <w:t>9</w:t>
      </w:r>
      <w:r w:rsidR="00B94D8D"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% </w:t>
      </w:r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y/y</w:t>
      </w:r>
      <w:r w:rsidR="00B94D8D"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>)</w:t>
      </w:r>
      <w:r w:rsidR="003A5F5E"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and PLN</w:t>
      </w:r>
      <w:r w:rsidR="003A5F5E"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1,69 mln </w:t>
      </w:r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for </w:t>
      </w:r>
      <w:proofErr w:type="spellStart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six</w:t>
      </w:r>
      <w:proofErr w:type="spellEnd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months</w:t>
      </w:r>
      <w:proofErr w:type="spellEnd"/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2022</w:t>
      </w:r>
      <w:r w:rsidR="00B94D8D"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>;</w:t>
      </w:r>
    </w:p>
    <w:p w14:paraId="0A7820CF" w14:textId="7E9FB23D" w:rsidR="006A2DD4" w:rsidRPr="006A2DD4" w:rsidRDefault="00B94D8D" w:rsidP="003273D1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EBITDA </w:t>
      </w:r>
      <w:proofErr w:type="spellStart"/>
      <w:r w:rsidR="00B1532A">
        <w:rPr>
          <w:rFonts w:asciiTheme="minorHAnsi" w:eastAsiaTheme="minorEastAsia" w:hAnsiTheme="minorHAnsi" w:cstheme="minorHAnsi"/>
          <w:b/>
          <w:bCs/>
          <w:sz w:val="20"/>
          <w:szCs w:val="20"/>
        </w:rPr>
        <w:t>result</w:t>
      </w:r>
      <w:proofErr w:type="spellEnd"/>
      <w:r w:rsidR="00B1532A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in </w:t>
      </w:r>
      <w:proofErr w:type="spellStart"/>
      <w:r w:rsidR="00B1532A">
        <w:rPr>
          <w:rFonts w:asciiTheme="minorHAnsi" w:eastAsiaTheme="minorEastAsia" w:hAnsiTheme="minorHAnsi" w:cstheme="minorHAnsi"/>
          <w:b/>
          <w:bCs/>
          <w:sz w:val="20"/>
          <w:szCs w:val="20"/>
        </w:rPr>
        <w:t>analyzed</w:t>
      </w:r>
      <w:proofErr w:type="spellEnd"/>
      <w:r w:rsidR="00B1532A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period </w:t>
      </w:r>
      <w:proofErr w:type="spellStart"/>
      <w:r w:rsidR="00B1532A">
        <w:rPr>
          <w:rFonts w:asciiTheme="minorHAnsi" w:eastAsiaTheme="minorEastAsia" w:hAnsiTheme="minorHAnsi" w:cstheme="minorHAnsi"/>
          <w:b/>
          <w:bCs/>
          <w:sz w:val="20"/>
          <w:szCs w:val="20"/>
        </w:rPr>
        <w:t>amounted</w:t>
      </w:r>
      <w:proofErr w:type="spellEnd"/>
      <w:r w:rsidR="00B1532A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PLN 5,45 mln</w:t>
      </w:r>
      <w:r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r w:rsidR="001E03F6"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>(</w:t>
      </w:r>
      <w:r w:rsidR="004F1A1D">
        <w:rPr>
          <w:rFonts w:asciiTheme="minorHAnsi" w:eastAsiaTheme="minorEastAsia" w:hAnsiTheme="minorHAnsi" w:cstheme="minorHAnsi"/>
          <w:b/>
          <w:bCs/>
          <w:sz w:val="20"/>
          <w:szCs w:val="20"/>
        </w:rPr>
        <w:t>+4,4%</w:t>
      </w:r>
      <w:r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r w:rsidR="00B1532A">
        <w:rPr>
          <w:rFonts w:asciiTheme="minorHAnsi" w:eastAsiaTheme="minorEastAsia" w:hAnsiTheme="minorHAnsi" w:cstheme="minorHAnsi"/>
          <w:b/>
          <w:bCs/>
          <w:sz w:val="20"/>
          <w:szCs w:val="20"/>
        </w:rPr>
        <w:t>y/y</w:t>
      </w:r>
      <w:r w:rsidR="001E03F6"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>)</w:t>
      </w:r>
      <w:r w:rsidR="00B1532A">
        <w:rPr>
          <w:rFonts w:asciiTheme="minorHAnsi" w:eastAsiaTheme="minorEastAsia" w:hAnsiTheme="minorHAnsi" w:cstheme="minorHAnsi"/>
          <w:b/>
          <w:bCs/>
          <w:sz w:val="20"/>
          <w:szCs w:val="20"/>
        </w:rPr>
        <w:t>;</w:t>
      </w:r>
      <w:r w:rsidR="001E03F6" w:rsidRPr="0041258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</w:p>
    <w:p w14:paraId="0B84C798" w14:textId="117F348C" w:rsidR="006A2DD4" w:rsidRPr="006A2DD4" w:rsidRDefault="006A2DD4" w:rsidP="003273D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proofErr w:type="spellStart"/>
      <w:r w:rsidRPr="006A2DD4">
        <w:rPr>
          <w:rFonts w:asciiTheme="minorHAnsi" w:eastAsiaTheme="minorEastAsia" w:hAnsiTheme="minorHAnsi" w:cstheme="minorHAnsi"/>
          <w:b/>
          <w:bCs/>
          <w:sz w:val="20"/>
          <w:szCs w:val="20"/>
        </w:rPr>
        <w:t>Stab</w:t>
      </w:r>
      <w:r w:rsidR="00B1532A">
        <w:rPr>
          <w:rFonts w:asciiTheme="minorHAnsi" w:eastAsiaTheme="minorEastAsia" w:hAnsiTheme="minorHAnsi" w:cstheme="minorHAnsi"/>
          <w:b/>
          <w:bCs/>
          <w:sz w:val="20"/>
          <w:szCs w:val="20"/>
        </w:rPr>
        <w:t>le</w:t>
      </w:r>
      <w:proofErr w:type="spellEnd"/>
      <w:r w:rsidRPr="006A2DD4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, </w:t>
      </w:r>
      <w:proofErr w:type="spellStart"/>
      <w:r w:rsidR="00B1532A" w:rsidRPr="00B1532A">
        <w:rPr>
          <w:rFonts w:asciiTheme="minorHAnsi" w:eastAsiaTheme="minorEastAsia" w:hAnsiTheme="minorHAnsi" w:cstheme="minorHAnsi"/>
          <w:b/>
          <w:bCs/>
          <w:sz w:val="20"/>
          <w:szCs w:val="20"/>
        </w:rPr>
        <w:t>though</w:t>
      </w:r>
      <w:proofErr w:type="spellEnd"/>
      <w:r w:rsidR="00B1532A" w:rsidRPr="00B1532A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B1532A" w:rsidRPr="00B1532A">
        <w:rPr>
          <w:rFonts w:asciiTheme="minorHAnsi" w:eastAsiaTheme="minorEastAsia" w:hAnsiTheme="minorHAnsi" w:cstheme="minorHAnsi"/>
          <w:b/>
          <w:bCs/>
          <w:sz w:val="20"/>
          <w:szCs w:val="20"/>
        </w:rPr>
        <w:t>influenced</w:t>
      </w:r>
      <w:proofErr w:type="spellEnd"/>
      <w:r w:rsidR="00B1532A" w:rsidRPr="00B1532A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by </w:t>
      </w:r>
      <w:proofErr w:type="spellStart"/>
      <w:r w:rsidR="00B1532A" w:rsidRPr="00B1532A">
        <w:rPr>
          <w:rFonts w:asciiTheme="minorHAnsi" w:eastAsiaTheme="minorEastAsia" w:hAnsiTheme="minorHAnsi" w:cstheme="minorHAnsi"/>
          <w:b/>
          <w:bCs/>
          <w:sz w:val="20"/>
          <w:szCs w:val="20"/>
        </w:rPr>
        <w:t>geopolitical</w:t>
      </w:r>
      <w:proofErr w:type="spellEnd"/>
      <w:r w:rsidR="00B1532A" w:rsidRPr="00B1532A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B1532A" w:rsidRPr="00B1532A">
        <w:rPr>
          <w:rFonts w:asciiTheme="minorHAnsi" w:eastAsiaTheme="minorEastAsia" w:hAnsiTheme="minorHAnsi" w:cstheme="minorHAnsi"/>
          <w:b/>
          <w:bCs/>
          <w:sz w:val="20"/>
          <w:szCs w:val="20"/>
        </w:rPr>
        <w:t>trends</w:t>
      </w:r>
      <w:proofErr w:type="spellEnd"/>
      <w:r w:rsidR="00B1532A" w:rsidRPr="00B1532A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, </w:t>
      </w:r>
      <w:proofErr w:type="spellStart"/>
      <w:r w:rsidR="00B1532A" w:rsidRPr="00B1532A">
        <w:rPr>
          <w:rFonts w:asciiTheme="minorHAnsi" w:eastAsiaTheme="minorEastAsia" w:hAnsiTheme="minorHAnsi" w:cstheme="minorHAnsi"/>
          <w:b/>
          <w:bCs/>
          <w:sz w:val="20"/>
          <w:szCs w:val="20"/>
        </w:rPr>
        <w:t>condition</w:t>
      </w:r>
      <w:proofErr w:type="spellEnd"/>
      <w:r w:rsidR="00B1532A" w:rsidRPr="00B1532A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of the </w:t>
      </w:r>
      <w:proofErr w:type="spellStart"/>
      <w:r w:rsidR="00B1532A" w:rsidRPr="00B1532A">
        <w:rPr>
          <w:rFonts w:asciiTheme="minorHAnsi" w:eastAsiaTheme="minorEastAsia" w:hAnsiTheme="minorHAnsi" w:cstheme="minorHAnsi"/>
          <w:b/>
          <w:bCs/>
          <w:sz w:val="20"/>
          <w:szCs w:val="20"/>
        </w:rPr>
        <w:t>company</w:t>
      </w:r>
      <w:proofErr w:type="spellEnd"/>
      <w:r w:rsidR="00B1532A" w:rsidRPr="00B1532A">
        <w:rPr>
          <w:rFonts w:asciiTheme="minorHAnsi" w:eastAsiaTheme="minorEastAsia" w:hAnsiTheme="minorHAnsi" w:cstheme="minorHAnsi"/>
          <w:b/>
          <w:bCs/>
          <w:sz w:val="20"/>
          <w:szCs w:val="20"/>
        </w:rPr>
        <w:t>.</w:t>
      </w:r>
    </w:p>
    <w:p w14:paraId="458C2F48" w14:textId="7085917D" w:rsidR="00FD7D65" w:rsidRPr="00412588" w:rsidRDefault="00FD7D65" w:rsidP="006A2DD4">
      <w:pPr>
        <w:spacing w:after="200" w:line="276" w:lineRule="auto"/>
        <w:ind w:left="720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14:paraId="3E6F3E0D" w14:textId="7B2BD77D" w:rsidR="00B1532A" w:rsidRPr="00B1532A" w:rsidRDefault="00B1532A" w:rsidP="00B1532A">
      <w:pPr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LUG S.A. Capital </w:t>
      </w:r>
      <w:proofErr w:type="spellStart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Group</w:t>
      </w:r>
      <w:proofErr w:type="spellEnd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proofErr w:type="spellStart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published</w:t>
      </w:r>
      <w:proofErr w:type="spellEnd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proofErr w:type="spellStart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consolidated</w:t>
      </w:r>
      <w:proofErr w:type="spellEnd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proofErr w:type="spellStart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results</w:t>
      </w:r>
      <w:proofErr w:type="spellEnd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for the 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II</w:t>
      </w:r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proofErr w:type="spellStart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quarter</w:t>
      </w:r>
      <w:proofErr w:type="spellEnd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of 2022. The </w:t>
      </w:r>
      <w:proofErr w:type="spellStart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Group's</w:t>
      </w:r>
      <w:proofErr w:type="spellEnd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proofErr w:type="spellStart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revenue</w:t>
      </w:r>
      <w:proofErr w:type="spellEnd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br/>
      </w:r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in 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the II </w:t>
      </w:r>
      <w:proofErr w:type="spellStart"/>
      <w: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quarter</w:t>
      </w:r>
      <w:proofErr w:type="spellEnd"/>
      <w: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of</w:t>
      </w:r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2022 </w:t>
      </w:r>
      <w:proofErr w:type="spellStart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amounted</w:t>
      </w:r>
      <w:proofErr w:type="spellEnd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to PLN 59.74 </w:t>
      </w:r>
      <w:proofErr w:type="spellStart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million</w:t>
      </w:r>
      <w:proofErr w:type="spellEnd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. </w:t>
      </w:r>
      <w:proofErr w:type="spellStart"/>
      <w: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Cumulatively</w:t>
      </w:r>
      <w:proofErr w:type="spellEnd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, for the </w:t>
      </w:r>
      <w:proofErr w:type="spellStart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first</w:t>
      </w:r>
      <w:proofErr w:type="spellEnd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half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-a-</w:t>
      </w:r>
      <w:proofErr w:type="spellStart"/>
      <w: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year</w:t>
      </w:r>
      <w:proofErr w:type="spellEnd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, </w:t>
      </w:r>
      <w:proofErr w:type="spellStart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sales</w:t>
      </w:r>
      <w:proofErr w:type="spellEnd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proofErr w:type="spellStart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reached</w:t>
      </w:r>
      <w:proofErr w:type="spellEnd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br/>
      </w:r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PLN 116.71 </w:t>
      </w:r>
      <w:proofErr w:type="spellStart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million</w:t>
      </w:r>
      <w:proofErr w:type="spellEnd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proofErr w:type="spellStart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compared</w:t>
      </w:r>
      <w:proofErr w:type="spellEnd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to PLN 84.92 </w:t>
      </w:r>
      <w:proofErr w:type="spellStart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million</w:t>
      </w:r>
      <w:proofErr w:type="spellEnd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a </w:t>
      </w:r>
      <w:proofErr w:type="spellStart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year</w:t>
      </w:r>
      <w:proofErr w:type="spellEnd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ago. Gross profit on </w:t>
      </w:r>
      <w:proofErr w:type="spellStart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sales</w:t>
      </w:r>
      <w:proofErr w:type="spellEnd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proofErr w:type="spellStart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amounted</w:t>
      </w:r>
      <w:proofErr w:type="spellEnd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to PLN 23.18 </w:t>
      </w:r>
      <w:proofErr w:type="spellStart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million</w:t>
      </w:r>
      <w:proofErr w:type="spellEnd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in 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the II </w:t>
      </w:r>
      <w:proofErr w:type="spellStart"/>
      <w: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quarter</w:t>
      </w:r>
      <w:proofErr w:type="spellEnd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2022 </w:t>
      </w:r>
      <w:proofErr w:type="spellStart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alone</w:t>
      </w:r>
      <w:proofErr w:type="spellEnd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, </w:t>
      </w:r>
      <w:proofErr w:type="spellStart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compared</w:t>
      </w:r>
      <w:proofErr w:type="spellEnd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to PLN 20.58 </w:t>
      </w:r>
      <w:proofErr w:type="spellStart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million</w:t>
      </w:r>
      <w:proofErr w:type="spellEnd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in the </w:t>
      </w:r>
      <w:proofErr w:type="spellStart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corresponding</w:t>
      </w:r>
      <w:proofErr w:type="spellEnd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period of 2021 (+12.6% y/y). The </w:t>
      </w:r>
      <w:proofErr w:type="spellStart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Group</w:t>
      </w:r>
      <w:proofErr w:type="spellEnd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proofErr w:type="spellStart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recorded</w:t>
      </w:r>
      <w:proofErr w:type="spellEnd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a </w:t>
      </w:r>
      <w:proofErr w:type="spellStart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dynamic</w:t>
      </w:r>
      <w:proofErr w:type="spellEnd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proofErr w:type="spellStart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increase</w:t>
      </w:r>
      <w:proofErr w:type="spellEnd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in </w:t>
      </w:r>
      <w:proofErr w:type="spellStart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revenues</w:t>
      </w:r>
      <w:proofErr w:type="spellEnd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y/y, </w:t>
      </w:r>
      <w:proofErr w:type="spellStart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despite</w:t>
      </w:r>
      <w:proofErr w:type="spellEnd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the </w:t>
      </w:r>
      <w:proofErr w:type="spellStart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continuing</w:t>
      </w:r>
      <w:proofErr w:type="spellEnd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proofErr w:type="spellStart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challenges</w:t>
      </w:r>
      <w:proofErr w:type="spellEnd"/>
      <w:r w:rsidRPr="00B1532A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in the semiconductor market.</w:t>
      </w:r>
    </w:p>
    <w:p w14:paraId="2491670D" w14:textId="77777777" w:rsidR="00FD7D65" w:rsidRPr="00412588" w:rsidRDefault="00FD7D65" w:rsidP="00412588">
      <w:pPr>
        <w:spacing w:line="276" w:lineRule="auto"/>
        <w:rPr>
          <w:rFonts w:asciiTheme="minorHAnsi" w:hAnsiTheme="minorHAnsi" w:cstheme="minorHAnsi"/>
          <w:b/>
          <w:color w:val="C00000"/>
          <w:sz w:val="20"/>
          <w:szCs w:val="20"/>
        </w:rPr>
      </w:pPr>
    </w:p>
    <w:p w14:paraId="6EF1BFC6" w14:textId="0FDE9177" w:rsidR="00393C2F" w:rsidRPr="004F1A1D" w:rsidRDefault="00B1532A" w:rsidP="00B1532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B1532A">
        <w:rPr>
          <w:rFonts w:asciiTheme="minorHAnsi" w:hAnsiTheme="minorHAnsi" w:cstheme="minorHAnsi"/>
          <w:sz w:val="20"/>
          <w:szCs w:val="20"/>
        </w:rPr>
        <w:t xml:space="preserve">In the </w:t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second</w:t>
      </w:r>
      <w:proofErr w:type="spellEnd"/>
      <w:r w:rsidRPr="00B1532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quarter</w:t>
      </w:r>
      <w:proofErr w:type="spellEnd"/>
      <w:r w:rsidRPr="00B1532A">
        <w:rPr>
          <w:rFonts w:asciiTheme="minorHAnsi" w:hAnsiTheme="minorHAnsi" w:cstheme="minorHAnsi"/>
          <w:sz w:val="20"/>
          <w:szCs w:val="20"/>
        </w:rPr>
        <w:t xml:space="preserve"> of 2022, the LUG </w:t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Group</w:t>
      </w:r>
      <w:proofErr w:type="spellEnd"/>
      <w:r w:rsidRPr="00B1532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recorded</w:t>
      </w:r>
      <w:proofErr w:type="spellEnd"/>
      <w:r w:rsidRPr="00B1532A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dynamic</w:t>
      </w:r>
      <w:proofErr w:type="spellEnd"/>
      <w:r w:rsidRPr="00B1532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increase</w:t>
      </w:r>
      <w:proofErr w:type="spellEnd"/>
      <w:r w:rsidRPr="00B1532A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revenues</w:t>
      </w:r>
      <w:proofErr w:type="spellEnd"/>
      <w:r w:rsidRPr="00B1532A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Due</w:t>
      </w:r>
      <w:proofErr w:type="spellEnd"/>
      <w:r w:rsidRPr="00B1532A">
        <w:rPr>
          <w:rFonts w:asciiTheme="minorHAnsi" w:hAnsiTheme="minorHAnsi" w:cstheme="minorHAnsi"/>
          <w:sz w:val="20"/>
          <w:szCs w:val="20"/>
        </w:rPr>
        <w:t xml:space="preserve"> to the performance </w:t>
      </w:r>
      <w:r>
        <w:rPr>
          <w:rFonts w:asciiTheme="minorHAnsi" w:hAnsiTheme="minorHAnsi" w:cstheme="minorHAnsi"/>
          <w:sz w:val="20"/>
          <w:szCs w:val="20"/>
        </w:rPr>
        <w:br/>
      </w:r>
      <w:r w:rsidRPr="00B1532A">
        <w:rPr>
          <w:rFonts w:asciiTheme="minorHAnsi" w:hAnsiTheme="minorHAnsi" w:cstheme="minorHAnsi"/>
          <w:sz w:val="20"/>
          <w:szCs w:val="20"/>
        </w:rPr>
        <w:t xml:space="preserve">of </w:t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contracts</w:t>
      </w:r>
      <w:proofErr w:type="spellEnd"/>
      <w:r w:rsidRPr="00B1532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concluded</w:t>
      </w:r>
      <w:proofErr w:type="spellEnd"/>
      <w:r w:rsidRPr="00B1532A">
        <w:rPr>
          <w:rFonts w:asciiTheme="minorHAnsi" w:hAnsiTheme="minorHAnsi" w:cstheme="minorHAnsi"/>
          <w:sz w:val="20"/>
          <w:szCs w:val="20"/>
        </w:rPr>
        <w:t xml:space="preserve"> in the period </w:t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preceding</w:t>
      </w:r>
      <w:proofErr w:type="spellEnd"/>
      <w:r w:rsidRPr="00B1532A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increase</w:t>
      </w:r>
      <w:proofErr w:type="spellEnd"/>
      <w:r w:rsidRPr="00B1532A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production</w:t>
      </w:r>
      <w:proofErr w:type="spellEnd"/>
      <w:r w:rsidRPr="00B1532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costs</w:t>
      </w:r>
      <w:proofErr w:type="spellEnd"/>
      <w:r w:rsidRPr="00B1532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our</w:t>
      </w:r>
      <w:proofErr w:type="spellEnd"/>
      <w:r w:rsidRPr="00B1532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profitability</w:t>
      </w:r>
      <w:proofErr w:type="spellEnd"/>
      <w:r w:rsidRPr="00B1532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decreased</w:t>
      </w:r>
      <w:proofErr w:type="spellEnd"/>
      <w:r w:rsidRPr="00B1532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over</w:t>
      </w:r>
      <w:proofErr w:type="spellEnd"/>
      <w:r w:rsidRPr="00B1532A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year</w:t>
      </w:r>
      <w:proofErr w:type="spellEnd"/>
      <w:r w:rsidRPr="00B1532A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However</w:t>
      </w:r>
      <w:proofErr w:type="spellEnd"/>
      <w:r w:rsidRPr="00B1532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it</w:t>
      </w:r>
      <w:proofErr w:type="spellEnd"/>
      <w:r w:rsidRPr="00B1532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should</w:t>
      </w:r>
      <w:proofErr w:type="spellEnd"/>
      <w:r w:rsidRPr="00B1532A">
        <w:rPr>
          <w:rFonts w:asciiTheme="minorHAnsi" w:hAnsiTheme="minorHAnsi" w:cstheme="minorHAnsi"/>
          <w:sz w:val="20"/>
          <w:szCs w:val="20"/>
        </w:rPr>
        <w:t xml:space="preserve"> be </w:t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emphasized</w:t>
      </w:r>
      <w:proofErr w:type="spellEnd"/>
      <w:r w:rsidRPr="00B1532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that</w:t>
      </w:r>
      <w:proofErr w:type="spellEnd"/>
      <w:r w:rsidRPr="00B1532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the II </w:t>
      </w:r>
      <w:proofErr w:type="spellStart"/>
      <w:r>
        <w:rPr>
          <w:rFonts w:asciiTheme="minorHAnsi" w:hAnsiTheme="minorHAnsi" w:cstheme="minorHAnsi"/>
          <w:sz w:val="20"/>
          <w:szCs w:val="20"/>
        </w:rPr>
        <w:t>quarter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of</w:t>
      </w:r>
      <w:r w:rsidRPr="00B1532A">
        <w:rPr>
          <w:rFonts w:asciiTheme="minorHAnsi" w:hAnsiTheme="minorHAnsi" w:cstheme="minorHAnsi"/>
          <w:sz w:val="20"/>
          <w:szCs w:val="20"/>
        </w:rPr>
        <w:t xml:space="preserve"> 2022 was a period of </w:t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gradual</w:t>
      </w:r>
      <w:proofErr w:type="spellEnd"/>
      <w:r w:rsidRPr="00B1532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rebuilding</w:t>
      </w:r>
      <w:proofErr w:type="spellEnd"/>
      <w:r w:rsidRPr="00B1532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</w:r>
      <w:r w:rsidRPr="00B1532A">
        <w:rPr>
          <w:rFonts w:asciiTheme="minorHAnsi" w:hAnsiTheme="minorHAnsi" w:cstheme="minorHAnsi"/>
          <w:sz w:val="20"/>
          <w:szCs w:val="20"/>
        </w:rPr>
        <w:t xml:space="preserve">of the </w:t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gross</w:t>
      </w:r>
      <w:proofErr w:type="spellEnd"/>
      <w:r w:rsidRPr="00B1532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margin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1532A">
        <w:rPr>
          <w:rFonts w:asciiTheme="minorHAnsi" w:hAnsiTheme="minorHAnsi" w:cstheme="minorHAnsi"/>
          <w:sz w:val="20"/>
          <w:szCs w:val="20"/>
        </w:rPr>
        <w:t xml:space="preserve">on </w:t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sales</w:t>
      </w:r>
      <w:proofErr w:type="spellEnd"/>
      <w:r w:rsidRPr="00B1532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which</w:t>
      </w:r>
      <w:proofErr w:type="spellEnd"/>
      <w:r w:rsidRPr="00B1532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increased</w:t>
      </w:r>
      <w:proofErr w:type="spellEnd"/>
      <w:r w:rsidRPr="00B1532A">
        <w:rPr>
          <w:rFonts w:asciiTheme="minorHAnsi" w:hAnsiTheme="minorHAnsi" w:cstheme="minorHAnsi"/>
          <w:sz w:val="20"/>
          <w:szCs w:val="20"/>
        </w:rPr>
        <w:t xml:space="preserve"> by 1.6 </w:t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p.p</w:t>
      </w:r>
      <w:proofErr w:type="spellEnd"/>
      <w:r w:rsidRPr="00B1532A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over</w:t>
      </w:r>
      <w:proofErr w:type="spellEnd"/>
      <w:r w:rsidRPr="00B1532A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last</w:t>
      </w:r>
      <w:proofErr w:type="spellEnd"/>
      <w:r w:rsidRPr="00B1532A">
        <w:rPr>
          <w:rFonts w:asciiTheme="minorHAnsi" w:hAnsiTheme="minorHAnsi" w:cstheme="minorHAnsi"/>
          <w:sz w:val="20"/>
          <w:szCs w:val="20"/>
        </w:rPr>
        <w:t xml:space="preserve"> 3 </w:t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months</w:t>
      </w:r>
      <w:proofErr w:type="spellEnd"/>
      <w:r w:rsidRPr="00B1532A">
        <w:rPr>
          <w:rFonts w:asciiTheme="minorHAnsi" w:hAnsiTheme="minorHAnsi" w:cstheme="minorHAnsi"/>
          <w:sz w:val="20"/>
          <w:szCs w:val="20"/>
        </w:rPr>
        <w:t xml:space="preserve"> to the </w:t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level</w:t>
      </w:r>
      <w:proofErr w:type="spellEnd"/>
      <w:r w:rsidRPr="00B1532A">
        <w:rPr>
          <w:rFonts w:asciiTheme="minorHAnsi" w:hAnsiTheme="minorHAnsi" w:cstheme="minorHAnsi"/>
          <w:sz w:val="20"/>
          <w:szCs w:val="20"/>
        </w:rPr>
        <w:t xml:space="preserve"> of 38.8%. </w:t>
      </w:r>
      <w:r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Currently</w:t>
      </w:r>
      <w:proofErr w:type="spellEnd"/>
      <w:r w:rsidRPr="00B1532A">
        <w:rPr>
          <w:rFonts w:asciiTheme="minorHAnsi" w:hAnsiTheme="minorHAnsi" w:cstheme="minorHAnsi"/>
          <w:sz w:val="20"/>
          <w:szCs w:val="20"/>
        </w:rPr>
        <w:t xml:space="preserve">, we </w:t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are</w:t>
      </w:r>
      <w:proofErr w:type="spellEnd"/>
      <w:r w:rsidRPr="00B1532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actively</w:t>
      </w:r>
      <w:proofErr w:type="spellEnd"/>
      <w:r w:rsidRPr="00B1532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working</w:t>
      </w:r>
      <w:proofErr w:type="spellEnd"/>
      <w:r w:rsidRPr="00B1532A">
        <w:rPr>
          <w:rFonts w:asciiTheme="minorHAnsi" w:hAnsiTheme="minorHAnsi" w:cstheme="minorHAnsi"/>
          <w:sz w:val="20"/>
          <w:szCs w:val="20"/>
        </w:rPr>
        <w:t xml:space="preserve"> on the </w:t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execution</w:t>
      </w:r>
      <w:proofErr w:type="spellEnd"/>
      <w:r w:rsidRPr="00B1532A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orders</w:t>
      </w:r>
      <w:proofErr w:type="spellEnd"/>
      <w:r w:rsidRPr="00B1532A">
        <w:rPr>
          <w:rFonts w:asciiTheme="minorHAnsi" w:hAnsiTheme="minorHAnsi" w:cstheme="minorHAnsi"/>
          <w:sz w:val="20"/>
          <w:szCs w:val="20"/>
        </w:rPr>
        <w:t xml:space="preserve"> in the </w:t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two</w:t>
      </w:r>
      <w:proofErr w:type="spellEnd"/>
      <w:r w:rsidRPr="00B1532A">
        <w:rPr>
          <w:rFonts w:asciiTheme="minorHAnsi" w:hAnsiTheme="minorHAnsi" w:cstheme="minorHAnsi"/>
          <w:sz w:val="20"/>
          <w:szCs w:val="20"/>
        </w:rPr>
        <w:t xml:space="preserve"> most </w:t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important</w:t>
      </w:r>
      <w:proofErr w:type="spellEnd"/>
      <w:r w:rsidRPr="00B1532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sales</w:t>
      </w:r>
      <w:proofErr w:type="spellEnd"/>
      <w:r w:rsidRPr="00B1532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quarters</w:t>
      </w:r>
      <w:proofErr w:type="spellEnd"/>
      <w:r w:rsidRPr="00B1532A">
        <w:rPr>
          <w:rFonts w:asciiTheme="minorHAnsi" w:hAnsiTheme="minorHAnsi" w:cstheme="minorHAnsi"/>
          <w:sz w:val="20"/>
          <w:szCs w:val="20"/>
        </w:rPr>
        <w:t xml:space="preserve"> of the </w:t>
      </w:r>
      <w:proofErr w:type="spellStart"/>
      <w:r w:rsidRPr="00B1532A">
        <w:rPr>
          <w:rFonts w:asciiTheme="minorHAnsi" w:hAnsiTheme="minorHAnsi" w:cstheme="minorHAnsi"/>
          <w:sz w:val="20"/>
          <w:szCs w:val="20"/>
        </w:rPr>
        <w:t>year</w:t>
      </w:r>
      <w:proofErr w:type="spellEnd"/>
      <w:r w:rsidR="001B5996">
        <w:rPr>
          <w:rFonts w:asciiTheme="minorHAnsi" w:hAnsiTheme="minorHAnsi" w:cstheme="minorHAnsi"/>
          <w:sz w:val="20"/>
          <w:szCs w:val="20"/>
        </w:rPr>
        <w:t xml:space="preserve"> </w:t>
      </w:r>
      <w:r w:rsidR="00E9541B" w:rsidRPr="004F1A1D">
        <w:rPr>
          <w:rFonts w:asciiTheme="minorHAnsi" w:hAnsiTheme="minorHAnsi" w:cstheme="minorHAnsi"/>
          <w:sz w:val="20"/>
          <w:szCs w:val="20"/>
        </w:rPr>
        <w:t>–</w:t>
      </w:r>
      <w:r w:rsidR="00E9541B" w:rsidRPr="0041258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comments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on </w:t>
      </w:r>
      <w:proofErr w:type="spellStart"/>
      <w:r>
        <w:rPr>
          <w:rFonts w:asciiTheme="minorHAnsi" w:hAnsiTheme="minorHAnsi" w:cstheme="minorHAnsi"/>
          <w:sz w:val="20"/>
          <w:szCs w:val="20"/>
        </w:rPr>
        <w:t>results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02520" w:rsidRPr="00412588">
        <w:rPr>
          <w:rFonts w:asciiTheme="minorHAnsi" w:hAnsiTheme="minorHAnsi" w:cstheme="minorHAnsi"/>
          <w:b/>
          <w:bCs/>
          <w:sz w:val="20"/>
          <w:szCs w:val="20"/>
        </w:rPr>
        <w:t xml:space="preserve">Ryszard Wtorkowski, </w:t>
      </w:r>
      <w:r>
        <w:rPr>
          <w:rFonts w:asciiTheme="minorHAnsi" w:hAnsiTheme="minorHAnsi" w:cstheme="minorHAnsi"/>
          <w:b/>
          <w:bCs/>
          <w:sz w:val="20"/>
          <w:szCs w:val="20"/>
        </w:rPr>
        <w:t>CEO of the Management Board of</w:t>
      </w:r>
      <w:r w:rsidR="00C02520" w:rsidRPr="00412588">
        <w:rPr>
          <w:rFonts w:asciiTheme="minorHAnsi" w:hAnsiTheme="minorHAnsi" w:cstheme="minorHAnsi"/>
          <w:b/>
          <w:bCs/>
          <w:sz w:val="20"/>
          <w:szCs w:val="20"/>
        </w:rPr>
        <w:t xml:space="preserve"> LUG S.A.</w:t>
      </w:r>
    </w:p>
    <w:p w14:paraId="6F266580" w14:textId="487E3F3A" w:rsidR="00FD7D65" w:rsidRPr="006F4BB0" w:rsidRDefault="00FD7D65" w:rsidP="00412588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F85CF5D" w14:textId="09A3555B" w:rsidR="006F4BB0" w:rsidRPr="006F4BB0" w:rsidRDefault="00842F62" w:rsidP="00842F62">
      <w:pPr>
        <w:spacing w:line="276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Gross profit on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sales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in </w:t>
      </w:r>
      <w:r>
        <w:rPr>
          <w:rFonts w:asciiTheme="minorHAnsi" w:eastAsia="Arial" w:hAnsiTheme="minorHAnsi" w:cstheme="minorHAnsi"/>
          <w:color w:val="000000"/>
          <w:sz w:val="20"/>
        </w:rPr>
        <w:t xml:space="preserve">the II </w:t>
      </w:r>
      <w:proofErr w:type="spellStart"/>
      <w:r>
        <w:rPr>
          <w:rFonts w:asciiTheme="minorHAnsi" w:eastAsia="Arial" w:hAnsiTheme="minorHAnsi" w:cstheme="minorHAnsi"/>
          <w:color w:val="000000"/>
          <w:sz w:val="20"/>
        </w:rPr>
        <w:t>quarter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2022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amounted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to PLN 23.18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million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.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This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is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an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increase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of 12.6%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compared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to the same period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last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year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.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Persistently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complicated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situation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in the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global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semiconductor market</w:t>
      </w:r>
      <w:r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and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increased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transport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costs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,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resulted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in a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decrease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in the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gross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margin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on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sales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to 38.8%,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i.e</w:t>
      </w:r>
      <w:proofErr w:type="spellEnd"/>
      <w:r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by 4.6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p.p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.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lower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r>
        <w:rPr>
          <w:rFonts w:asciiTheme="minorHAnsi" w:eastAsia="Arial" w:hAnsiTheme="minorHAnsi" w:cstheme="minorHAnsi"/>
          <w:color w:val="000000"/>
          <w:sz w:val="20"/>
        </w:rPr>
        <w:t>y/y</w:t>
      </w:r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.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Despite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unfavorable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economic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conditions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, </w:t>
      </w:r>
      <w:r>
        <w:rPr>
          <w:rFonts w:asciiTheme="minorHAnsi" w:eastAsia="Arial" w:hAnsiTheme="minorHAnsi" w:cstheme="minorHAnsi"/>
          <w:color w:val="000000"/>
          <w:sz w:val="20"/>
        </w:rPr>
        <w:t xml:space="preserve">the II </w:t>
      </w:r>
      <w:proofErr w:type="spellStart"/>
      <w:r>
        <w:rPr>
          <w:rFonts w:asciiTheme="minorHAnsi" w:eastAsia="Arial" w:hAnsiTheme="minorHAnsi" w:cstheme="minorHAnsi"/>
          <w:color w:val="000000"/>
          <w:sz w:val="20"/>
        </w:rPr>
        <w:t>quarter</w:t>
      </w:r>
      <w:proofErr w:type="spellEnd"/>
      <w:r>
        <w:rPr>
          <w:rFonts w:asciiTheme="minorHAnsi" w:eastAsia="Arial" w:hAnsiTheme="minorHAnsi" w:cstheme="minorHAnsi"/>
          <w:color w:val="000000"/>
          <w:sz w:val="20"/>
        </w:rPr>
        <w:t xml:space="preserve"> of</w:t>
      </w:r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2022 was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another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period of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gradual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margin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recovery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,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which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increased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by 1.6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p.p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.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over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the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last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quarter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>.</w:t>
      </w:r>
    </w:p>
    <w:p w14:paraId="0444A573" w14:textId="77777777" w:rsidR="00797F74" w:rsidRDefault="00797F74" w:rsidP="00CA45D0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66B190D9" w14:textId="76570E38" w:rsidR="00CA45D0" w:rsidRPr="00CA45D0" w:rsidRDefault="00842F62" w:rsidP="00842F62">
      <w:pPr>
        <w:spacing w:line="276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Consolidated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EBITDA in </w:t>
      </w:r>
      <w:r>
        <w:rPr>
          <w:rFonts w:asciiTheme="minorHAnsi" w:eastAsia="Arial" w:hAnsiTheme="minorHAnsi" w:cstheme="minorHAnsi"/>
          <w:color w:val="000000"/>
          <w:sz w:val="20"/>
        </w:rPr>
        <w:t xml:space="preserve">the II </w:t>
      </w:r>
      <w:proofErr w:type="spellStart"/>
      <w:r>
        <w:rPr>
          <w:rFonts w:asciiTheme="minorHAnsi" w:eastAsia="Arial" w:hAnsiTheme="minorHAnsi" w:cstheme="minorHAnsi"/>
          <w:color w:val="000000"/>
          <w:sz w:val="20"/>
        </w:rPr>
        <w:t>quarter</w:t>
      </w:r>
      <w:proofErr w:type="spellEnd"/>
      <w:r>
        <w:rPr>
          <w:rFonts w:asciiTheme="minorHAnsi" w:eastAsia="Arial" w:hAnsiTheme="minorHAnsi" w:cstheme="minorHAnsi"/>
          <w:color w:val="000000"/>
          <w:sz w:val="20"/>
        </w:rPr>
        <w:t xml:space="preserve"> of</w:t>
      </w:r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2022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amounted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to PLN 5.45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million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, i.e. 10.1%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more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than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in the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previous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quarter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and 4.4%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more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than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last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year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. EBITDA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margin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increased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by 0.4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p.p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.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comparing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quarter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to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quarter</w:t>
      </w:r>
      <w:proofErr w:type="spellEnd"/>
      <w:r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r>
        <w:rPr>
          <w:rFonts w:asciiTheme="minorHAnsi" w:eastAsia="Arial" w:hAnsiTheme="minorHAnsi" w:cstheme="minorHAnsi"/>
          <w:color w:val="000000"/>
          <w:sz w:val="20"/>
        </w:rPr>
        <w:br/>
      </w:r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and was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at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the same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time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1.9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p.p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.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lower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than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the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year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 xml:space="preserve"> </w:t>
      </w:r>
      <w:proofErr w:type="spellStart"/>
      <w:r w:rsidRPr="00842F62">
        <w:rPr>
          <w:rFonts w:asciiTheme="minorHAnsi" w:eastAsia="Arial" w:hAnsiTheme="minorHAnsi" w:cstheme="minorHAnsi"/>
          <w:color w:val="000000"/>
          <w:sz w:val="20"/>
        </w:rPr>
        <w:t>before</w:t>
      </w:r>
      <w:proofErr w:type="spellEnd"/>
      <w:r w:rsidRPr="00842F62">
        <w:rPr>
          <w:rFonts w:asciiTheme="minorHAnsi" w:eastAsia="Arial" w:hAnsiTheme="minorHAnsi" w:cstheme="minorHAnsi"/>
          <w:color w:val="000000"/>
          <w:sz w:val="20"/>
        </w:rPr>
        <w:t>.</w:t>
      </w:r>
    </w:p>
    <w:p w14:paraId="37303A2F" w14:textId="5034E022" w:rsidR="00842F62" w:rsidRDefault="00842F62" w:rsidP="00842F62">
      <w:pPr>
        <w:rPr>
          <w:rFonts w:asciiTheme="minorHAnsi" w:hAnsiTheme="minorHAnsi" w:cstheme="minorHAnsi"/>
          <w:sz w:val="20"/>
          <w:szCs w:val="20"/>
        </w:rPr>
      </w:pPr>
    </w:p>
    <w:p w14:paraId="139CEB01" w14:textId="23440E9C" w:rsidR="00842F62" w:rsidRPr="00842F62" w:rsidRDefault="00842F62" w:rsidP="00842F62">
      <w:pPr>
        <w:jc w:val="both"/>
        <w:rPr>
          <w:rFonts w:asciiTheme="minorHAnsi" w:hAnsiTheme="minorHAnsi" w:cstheme="minorHAnsi"/>
          <w:sz w:val="20"/>
          <w:szCs w:val="20"/>
        </w:rPr>
      </w:pPr>
      <w:r w:rsidRPr="00842F62">
        <w:rPr>
          <w:rFonts w:asciiTheme="minorHAnsi" w:hAnsiTheme="minorHAnsi" w:cstheme="minorHAnsi"/>
          <w:sz w:val="20"/>
          <w:szCs w:val="20"/>
        </w:rPr>
        <w:t xml:space="preserve">Net profit in </w:t>
      </w:r>
      <w:r>
        <w:rPr>
          <w:rFonts w:asciiTheme="minorHAnsi" w:hAnsiTheme="minorHAnsi" w:cstheme="minorHAnsi"/>
          <w:sz w:val="20"/>
          <w:szCs w:val="20"/>
        </w:rPr>
        <w:t xml:space="preserve">the II </w:t>
      </w:r>
      <w:proofErr w:type="spellStart"/>
      <w:r>
        <w:rPr>
          <w:rFonts w:asciiTheme="minorHAnsi" w:hAnsiTheme="minorHAnsi" w:cstheme="minorHAnsi"/>
          <w:sz w:val="20"/>
          <w:szCs w:val="20"/>
        </w:rPr>
        <w:t>quarter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of 2</w:t>
      </w:r>
      <w:r w:rsidRPr="00842F62">
        <w:rPr>
          <w:rFonts w:asciiTheme="minorHAnsi" w:hAnsiTheme="minorHAnsi" w:cstheme="minorHAnsi"/>
          <w:sz w:val="20"/>
          <w:szCs w:val="20"/>
        </w:rPr>
        <w:t xml:space="preserve">022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amounted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to PLN 0.85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million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remained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at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level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slightly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higher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than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</w:r>
      <w:r w:rsidRPr="00842F62">
        <w:rPr>
          <w:rFonts w:asciiTheme="minorHAnsi" w:hAnsiTheme="minorHAnsi" w:cstheme="minorHAnsi"/>
          <w:sz w:val="20"/>
          <w:szCs w:val="20"/>
        </w:rPr>
        <w:t xml:space="preserve">in </w:t>
      </w:r>
      <w:r>
        <w:rPr>
          <w:rFonts w:asciiTheme="minorHAnsi" w:hAnsiTheme="minorHAnsi" w:cstheme="minorHAnsi"/>
          <w:sz w:val="20"/>
          <w:szCs w:val="20"/>
        </w:rPr>
        <w:t xml:space="preserve">the I </w:t>
      </w:r>
      <w:proofErr w:type="spellStart"/>
      <w:r>
        <w:rPr>
          <w:rFonts w:asciiTheme="minorHAnsi" w:hAnsiTheme="minorHAnsi" w:cstheme="minorHAnsi"/>
          <w:sz w:val="20"/>
          <w:szCs w:val="20"/>
        </w:rPr>
        <w:t>quarter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and 9%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higher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than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in </w:t>
      </w:r>
      <w:r>
        <w:rPr>
          <w:rFonts w:asciiTheme="minorHAnsi" w:hAnsiTheme="minorHAnsi" w:cstheme="minorHAnsi"/>
          <w:sz w:val="20"/>
          <w:szCs w:val="20"/>
        </w:rPr>
        <w:t xml:space="preserve">the II </w:t>
      </w:r>
      <w:proofErr w:type="spellStart"/>
      <w:r>
        <w:rPr>
          <w:rFonts w:asciiTheme="minorHAnsi" w:hAnsiTheme="minorHAnsi" w:cstheme="minorHAnsi"/>
          <w:sz w:val="20"/>
          <w:szCs w:val="20"/>
        </w:rPr>
        <w:t>quarter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of</w:t>
      </w:r>
      <w:r w:rsidRPr="00842F62">
        <w:rPr>
          <w:rFonts w:asciiTheme="minorHAnsi" w:hAnsiTheme="minorHAnsi" w:cstheme="minorHAnsi"/>
          <w:sz w:val="20"/>
          <w:szCs w:val="20"/>
        </w:rPr>
        <w:t xml:space="preserve"> 2021.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Cumulatively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, in </w:t>
      </w:r>
      <w:proofErr w:type="spellStart"/>
      <w:r>
        <w:rPr>
          <w:rFonts w:asciiTheme="minorHAnsi" w:hAnsiTheme="minorHAnsi" w:cstheme="minorHAnsi"/>
          <w:sz w:val="20"/>
          <w:szCs w:val="20"/>
        </w:rPr>
        <w:t>first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half-a-</w:t>
      </w:r>
      <w:proofErr w:type="spellStart"/>
      <w:r>
        <w:rPr>
          <w:rFonts w:asciiTheme="minorHAnsi" w:hAnsiTheme="minorHAnsi" w:cstheme="minorHAnsi"/>
          <w:sz w:val="20"/>
          <w:szCs w:val="20"/>
        </w:rPr>
        <w:t>year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it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amounted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</w:r>
      <w:r w:rsidRPr="00842F62">
        <w:rPr>
          <w:rFonts w:asciiTheme="minorHAnsi" w:hAnsiTheme="minorHAnsi" w:cstheme="minorHAnsi"/>
          <w:sz w:val="20"/>
          <w:szCs w:val="20"/>
        </w:rPr>
        <w:t xml:space="preserve">to PLN 1.69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million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compared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to PLN 1.55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million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in the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first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half of 2021 (+9.0% y/y). Net profit in </w:t>
      </w:r>
      <w:r>
        <w:rPr>
          <w:rFonts w:asciiTheme="minorHAnsi" w:hAnsiTheme="minorHAnsi" w:cstheme="minorHAnsi"/>
          <w:sz w:val="20"/>
          <w:szCs w:val="20"/>
        </w:rPr>
        <w:t xml:space="preserve">the II </w:t>
      </w:r>
      <w:proofErr w:type="spellStart"/>
      <w:r>
        <w:rPr>
          <w:rFonts w:asciiTheme="minorHAnsi" w:hAnsiTheme="minorHAnsi" w:cstheme="minorHAnsi"/>
          <w:sz w:val="20"/>
          <w:szCs w:val="20"/>
        </w:rPr>
        <w:t>quarter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  <w:t>of</w:t>
      </w:r>
      <w:r w:rsidRPr="00842F62">
        <w:rPr>
          <w:rFonts w:asciiTheme="minorHAnsi" w:hAnsiTheme="minorHAnsi" w:cstheme="minorHAnsi"/>
          <w:sz w:val="20"/>
          <w:szCs w:val="20"/>
        </w:rPr>
        <w:t xml:space="preserve"> 2022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amounted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to PLN 0.85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million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remained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at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level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slightly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higher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than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in </w:t>
      </w:r>
      <w:r>
        <w:rPr>
          <w:rFonts w:asciiTheme="minorHAnsi" w:hAnsiTheme="minorHAnsi" w:cstheme="minorHAnsi"/>
          <w:sz w:val="20"/>
          <w:szCs w:val="20"/>
        </w:rPr>
        <w:t xml:space="preserve">the </w:t>
      </w:r>
      <w:proofErr w:type="spellStart"/>
      <w:r>
        <w:rPr>
          <w:rFonts w:asciiTheme="minorHAnsi" w:hAnsiTheme="minorHAnsi" w:cstheme="minorHAnsi"/>
          <w:sz w:val="20"/>
          <w:szCs w:val="20"/>
        </w:rPr>
        <w:t>first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quarter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and 9%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higher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than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in </w:t>
      </w:r>
      <w:r>
        <w:rPr>
          <w:rFonts w:asciiTheme="minorHAnsi" w:hAnsiTheme="minorHAnsi" w:cstheme="minorHAnsi"/>
          <w:sz w:val="20"/>
          <w:szCs w:val="20"/>
        </w:rPr>
        <w:t xml:space="preserve">the II </w:t>
      </w:r>
      <w:proofErr w:type="spellStart"/>
      <w:r>
        <w:rPr>
          <w:rFonts w:asciiTheme="minorHAnsi" w:hAnsiTheme="minorHAnsi" w:cstheme="minorHAnsi"/>
          <w:sz w:val="20"/>
          <w:szCs w:val="20"/>
        </w:rPr>
        <w:t>quarter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of</w:t>
      </w:r>
      <w:r w:rsidRPr="00842F62">
        <w:rPr>
          <w:rFonts w:asciiTheme="minorHAnsi" w:hAnsiTheme="minorHAnsi" w:cstheme="minorHAnsi"/>
          <w:sz w:val="20"/>
          <w:szCs w:val="20"/>
        </w:rPr>
        <w:t xml:space="preserve"> 2021.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Cumulatively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, in </w:t>
      </w:r>
      <w:r>
        <w:rPr>
          <w:rFonts w:asciiTheme="minorHAnsi" w:hAnsiTheme="minorHAnsi" w:cstheme="minorHAnsi"/>
          <w:sz w:val="20"/>
          <w:szCs w:val="20"/>
        </w:rPr>
        <w:t xml:space="preserve">the </w:t>
      </w:r>
      <w:proofErr w:type="spellStart"/>
      <w:r>
        <w:rPr>
          <w:rFonts w:asciiTheme="minorHAnsi" w:hAnsiTheme="minorHAnsi" w:cstheme="minorHAnsi"/>
          <w:sz w:val="20"/>
          <w:szCs w:val="20"/>
        </w:rPr>
        <w:t>first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half-a-</w:t>
      </w:r>
      <w:proofErr w:type="spellStart"/>
      <w:r>
        <w:rPr>
          <w:rFonts w:asciiTheme="minorHAnsi" w:hAnsiTheme="minorHAnsi" w:cstheme="minorHAnsi"/>
          <w:sz w:val="20"/>
          <w:szCs w:val="20"/>
        </w:rPr>
        <w:t>year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it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amounted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to PLN 1.69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million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compared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</w:r>
      <w:r w:rsidRPr="00842F62">
        <w:rPr>
          <w:rFonts w:asciiTheme="minorHAnsi" w:hAnsiTheme="minorHAnsi" w:cstheme="minorHAnsi"/>
          <w:sz w:val="20"/>
          <w:szCs w:val="20"/>
        </w:rPr>
        <w:t xml:space="preserve">to PLN 1.55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million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in the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first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half of 2021 (+9.0% y/y).</w:t>
      </w:r>
    </w:p>
    <w:p w14:paraId="178767FF" w14:textId="77777777" w:rsidR="00842F62" w:rsidRPr="00842F62" w:rsidRDefault="00842F62" w:rsidP="00842F6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A5969F4" w14:textId="6E6A99FD" w:rsidR="003058F7" w:rsidRPr="00E65DC4" w:rsidRDefault="003058F7" w:rsidP="00842F6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2B8BE20" w14:textId="4B311BF3" w:rsidR="008377BE" w:rsidRDefault="008377BE" w:rsidP="0041258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9D397B" w14:textId="23D165BE" w:rsidR="006F33D3" w:rsidRDefault="00842F62" w:rsidP="00C861CC">
      <w:pPr>
        <w:spacing w:line="276" w:lineRule="auto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bCs/>
          <w:color w:val="C00000"/>
          <w:sz w:val="20"/>
          <w:szCs w:val="20"/>
        </w:rPr>
        <w:t>Key</w:t>
      </w:r>
      <w:proofErr w:type="spellEnd"/>
      <w:r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C00000"/>
          <w:sz w:val="20"/>
          <w:szCs w:val="20"/>
        </w:rPr>
        <w:t>events</w:t>
      </w:r>
      <w:proofErr w:type="spellEnd"/>
    </w:p>
    <w:p w14:paraId="64E56FEB" w14:textId="5604600A" w:rsidR="00842F62" w:rsidRPr="003577F6" w:rsidRDefault="00842F62" w:rsidP="00842F6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2F62">
        <w:rPr>
          <w:rFonts w:asciiTheme="minorHAnsi" w:hAnsiTheme="minorHAnsi" w:cstheme="minorHAnsi"/>
          <w:sz w:val="20"/>
          <w:szCs w:val="20"/>
        </w:rPr>
        <w:t xml:space="preserve">We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are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continuing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implementation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of the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project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for the Capital City of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Warsaw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. In the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second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quarter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br/>
      </w:r>
      <w:r w:rsidRPr="00842F62">
        <w:rPr>
          <w:rFonts w:asciiTheme="minorHAnsi" w:hAnsiTheme="minorHAnsi" w:cstheme="minorHAnsi"/>
          <w:sz w:val="20"/>
          <w:szCs w:val="20"/>
        </w:rPr>
        <w:t xml:space="preserve">the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revenue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from the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project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amounted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to PLN 4.3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million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, and in the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entire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first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half of 2022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it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reached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</w:r>
      <w:r w:rsidRPr="00842F62">
        <w:rPr>
          <w:rFonts w:asciiTheme="minorHAnsi" w:hAnsiTheme="minorHAnsi" w:cstheme="minorHAnsi"/>
          <w:sz w:val="20"/>
          <w:szCs w:val="20"/>
        </w:rPr>
        <w:t xml:space="preserve">PLN 5.6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million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. It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is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worth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recalling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that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it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is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largest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42F62">
        <w:rPr>
          <w:rFonts w:asciiTheme="minorHAnsi" w:hAnsiTheme="minorHAnsi" w:cstheme="minorHAnsi"/>
          <w:sz w:val="20"/>
          <w:szCs w:val="20"/>
        </w:rPr>
        <w:t xml:space="preserve">in Poland, a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contract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for the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replacement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lighting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Thanks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to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it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, the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electricity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bills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of the City of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Warsaw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will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decrease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42F62">
        <w:rPr>
          <w:rFonts w:asciiTheme="minorHAnsi" w:hAnsiTheme="minorHAnsi" w:cstheme="minorHAnsi"/>
          <w:sz w:val="20"/>
          <w:szCs w:val="20"/>
        </w:rPr>
        <w:t xml:space="preserve">by as much as PLN 23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million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per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year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br/>
      </w:r>
      <w:r w:rsidRPr="00842F62">
        <w:rPr>
          <w:rFonts w:asciiTheme="minorHAnsi" w:hAnsiTheme="minorHAnsi" w:cstheme="minorHAnsi"/>
          <w:sz w:val="20"/>
          <w:szCs w:val="20"/>
        </w:rPr>
        <w:t xml:space="preserve">and the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emission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carbon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dioxide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into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atmosphere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will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decrease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by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approx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. 30,000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tons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per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year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These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are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significant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cost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reductions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in the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context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drastic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increases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energy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prices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and in the face of the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climate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crisis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>.</w:t>
      </w:r>
    </w:p>
    <w:p w14:paraId="5EBA8167" w14:textId="77777777" w:rsidR="003577F6" w:rsidRDefault="003577F6" w:rsidP="00C9253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22505EE" w14:textId="5A325E81" w:rsidR="00D94858" w:rsidRDefault="00842F62" w:rsidP="00C9253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2F62">
        <w:rPr>
          <w:rFonts w:asciiTheme="minorHAnsi" w:hAnsiTheme="minorHAnsi" w:cstheme="minorHAnsi"/>
          <w:sz w:val="20"/>
          <w:szCs w:val="20"/>
        </w:rPr>
        <w:t xml:space="preserve">In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June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this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year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contract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was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signed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for the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replacement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lighting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in the Bogatynia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Commune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br/>
      </w:r>
      <w:r w:rsidRPr="00842F62">
        <w:rPr>
          <w:rFonts w:asciiTheme="minorHAnsi" w:hAnsiTheme="minorHAnsi" w:cstheme="minorHAnsi"/>
          <w:sz w:val="20"/>
          <w:szCs w:val="20"/>
        </w:rPr>
        <w:t xml:space="preserve">The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modernization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street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lighting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in the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commune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will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cover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over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3,000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luminaires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and 8 km of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overhead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lines.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Over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500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new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poles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will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be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installed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and a modern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control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system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will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be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installed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. The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costs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of the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local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government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related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to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electricity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will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decrease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thanks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to the investment by PLN 2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million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per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year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>.</w:t>
      </w:r>
    </w:p>
    <w:p w14:paraId="1DC1C045" w14:textId="77777777" w:rsidR="00D94858" w:rsidRDefault="00D94858" w:rsidP="00C9253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3FC1088" w14:textId="44890E93" w:rsidR="00842F62" w:rsidRPr="00842F62" w:rsidRDefault="00842F62" w:rsidP="00842F62">
      <w:pPr>
        <w:jc w:val="both"/>
        <w:rPr>
          <w:rFonts w:asciiTheme="minorHAnsi" w:hAnsiTheme="minorHAnsi" w:cstheme="minorHAnsi"/>
          <w:sz w:val="20"/>
          <w:szCs w:val="20"/>
        </w:rPr>
      </w:pPr>
      <w:r w:rsidRPr="00842F62">
        <w:rPr>
          <w:rFonts w:asciiTheme="minorHAnsi" w:hAnsiTheme="minorHAnsi" w:cstheme="minorHAnsi"/>
          <w:sz w:val="20"/>
          <w:szCs w:val="20"/>
        </w:rPr>
        <w:t xml:space="preserve">The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geographical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structure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sales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did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not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change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significantly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compared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to the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first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quarter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- the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share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exports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amounted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to 60.5%.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Among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projects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implemented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this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period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outside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of Poland,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it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is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worth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mentioning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</w:r>
      <w:r w:rsidRPr="00842F62">
        <w:rPr>
          <w:rFonts w:asciiTheme="minorHAnsi" w:hAnsiTheme="minorHAnsi" w:cstheme="minorHAnsi"/>
          <w:sz w:val="20"/>
          <w:szCs w:val="20"/>
        </w:rPr>
        <w:t xml:space="preserve">the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street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lighting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installed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as part of the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project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Israel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Lithuania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Norway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, Estonia, Germany and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Croatia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br/>
      </w:r>
      <w:r w:rsidRPr="00842F62">
        <w:rPr>
          <w:rFonts w:asciiTheme="minorHAnsi" w:hAnsiTheme="minorHAnsi" w:cstheme="minorHAnsi"/>
          <w:sz w:val="20"/>
          <w:szCs w:val="20"/>
        </w:rPr>
        <w:t xml:space="preserve">The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company's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portfolio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also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includes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comprehensive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modernization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projects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for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industrial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architectural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lighting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around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world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>.</w:t>
      </w:r>
    </w:p>
    <w:p w14:paraId="497DD900" w14:textId="58130D58" w:rsidR="00087E54" w:rsidRPr="00087E54" w:rsidRDefault="00087E54" w:rsidP="00C9253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2022816" w14:textId="65D9E8A2" w:rsidR="00087E54" w:rsidRDefault="00087E54" w:rsidP="0041258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3BE78F2" w14:textId="0DC9C0C8" w:rsidR="00087E54" w:rsidRDefault="00AB3F8C" w:rsidP="00412588">
      <w:pPr>
        <w:spacing w:line="276" w:lineRule="auto"/>
        <w:jc w:val="both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bCs/>
          <w:color w:val="C00000"/>
          <w:sz w:val="20"/>
          <w:szCs w:val="20"/>
        </w:rPr>
        <w:t>P</w:t>
      </w:r>
      <w:r w:rsidR="00842F62">
        <w:rPr>
          <w:rFonts w:asciiTheme="minorHAnsi" w:hAnsiTheme="minorHAnsi" w:cstheme="minorHAnsi"/>
          <w:b/>
          <w:bCs/>
          <w:color w:val="C00000"/>
          <w:sz w:val="20"/>
          <w:szCs w:val="20"/>
        </w:rPr>
        <w:t>rospects</w:t>
      </w:r>
      <w:proofErr w:type="spellEnd"/>
      <w:r w:rsidR="00842F62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 of the </w:t>
      </w:r>
      <w:proofErr w:type="spellStart"/>
      <w:r w:rsidR="00842F62">
        <w:rPr>
          <w:rFonts w:asciiTheme="minorHAnsi" w:hAnsiTheme="minorHAnsi" w:cstheme="minorHAnsi"/>
          <w:b/>
          <w:bCs/>
          <w:color w:val="C00000"/>
          <w:sz w:val="20"/>
          <w:szCs w:val="20"/>
        </w:rPr>
        <w:t>lighting</w:t>
      </w:r>
      <w:proofErr w:type="spellEnd"/>
      <w:r w:rsidR="00842F62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 market</w:t>
      </w:r>
      <w:r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 </w:t>
      </w:r>
    </w:p>
    <w:p w14:paraId="54F5FA95" w14:textId="33CD21F7" w:rsidR="00842F62" w:rsidRDefault="00842F62" w:rsidP="00503E4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2F62">
        <w:rPr>
          <w:rFonts w:asciiTheme="minorHAnsi" w:hAnsiTheme="minorHAnsi" w:cstheme="minorHAnsi"/>
          <w:sz w:val="20"/>
          <w:szCs w:val="20"/>
        </w:rPr>
        <w:t xml:space="preserve">The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factor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influencing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the development of the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industry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94017">
        <w:rPr>
          <w:rFonts w:asciiTheme="minorHAnsi" w:hAnsiTheme="minorHAnsi" w:cstheme="minorHAnsi"/>
          <w:sz w:val="20"/>
          <w:szCs w:val="20"/>
        </w:rPr>
        <w:t>is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cost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related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to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electricity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charges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their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reduction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by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replacing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conventional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lighting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solutions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with LED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technology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Forecasts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for 2025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are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21%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lower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compared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r w:rsidR="00694017">
        <w:rPr>
          <w:rFonts w:asciiTheme="minorHAnsi" w:hAnsiTheme="minorHAnsi" w:cstheme="minorHAnsi"/>
          <w:sz w:val="20"/>
          <w:szCs w:val="20"/>
        </w:rPr>
        <w:br/>
      </w:r>
      <w:r w:rsidRPr="00842F62">
        <w:rPr>
          <w:rFonts w:asciiTheme="minorHAnsi" w:hAnsiTheme="minorHAnsi" w:cstheme="minorHAnsi"/>
          <w:sz w:val="20"/>
          <w:szCs w:val="20"/>
        </w:rPr>
        <w:t xml:space="preserve">to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forecasts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before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coronavirus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pandemic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. The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estimated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growth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rate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of the smart LED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lighting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market </w:t>
      </w:r>
      <w:r w:rsidR="00694017">
        <w:rPr>
          <w:rFonts w:asciiTheme="minorHAnsi" w:hAnsiTheme="minorHAnsi" w:cstheme="minorHAnsi"/>
          <w:sz w:val="20"/>
          <w:szCs w:val="20"/>
        </w:rPr>
        <w:br/>
      </w:r>
      <w:r w:rsidRPr="00842F62">
        <w:rPr>
          <w:rFonts w:asciiTheme="minorHAnsi" w:hAnsiTheme="minorHAnsi" w:cstheme="minorHAnsi"/>
          <w:sz w:val="20"/>
          <w:szCs w:val="20"/>
        </w:rPr>
        <w:t xml:space="preserve">in 2025-2030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is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14.3 CAGR.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Availability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semiconductors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raw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materials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remains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an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issue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This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applies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primarily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to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steel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, for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which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one of the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main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production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centers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was the plant in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Mariupol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. In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addition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, the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costs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energy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resources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, and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thus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costs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processing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and transport,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remain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strongly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influenced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by the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military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operations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r w:rsidR="00694017">
        <w:rPr>
          <w:rFonts w:asciiTheme="minorHAnsi" w:hAnsiTheme="minorHAnsi" w:cstheme="minorHAnsi"/>
          <w:sz w:val="20"/>
          <w:szCs w:val="20"/>
        </w:rPr>
        <w:br/>
      </w:r>
      <w:r w:rsidRPr="00842F62">
        <w:rPr>
          <w:rFonts w:asciiTheme="minorHAnsi" w:hAnsiTheme="minorHAnsi" w:cstheme="minorHAnsi"/>
          <w:sz w:val="20"/>
          <w:szCs w:val="20"/>
        </w:rPr>
        <w:t xml:space="preserve">in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Ukraine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. A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new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risk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strongly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affecting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lighting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industry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is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China's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aggression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against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Taiwan and the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potential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blockade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electronic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components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supplies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to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customers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around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Pr="00842F62">
        <w:rPr>
          <w:rFonts w:asciiTheme="minorHAnsi" w:hAnsiTheme="minorHAnsi" w:cstheme="minorHAnsi"/>
          <w:sz w:val="20"/>
          <w:szCs w:val="20"/>
        </w:rPr>
        <w:t>world</w:t>
      </w:r>
      <w:proofErr w:type="spellEnd"/>
      <w:r w:rsidRPr="00842F62">
        <w:rPr>
          <w:rFonts w:asciiTheme="minorHAnsi" w:hAnsiTheme="minorHAnsi" w:cstheme="minorHAnsi"/>
          <w:sz w:val="20"/>
          <w:szCs w:val="20"/>
        </w:rPr>
        <w:t>.</w:t>
      </w:r>
    </w:p>
    <w:p w14:paraId="3A38C33B" w14:textId="2EA67F95" w:rsidR="00412588" w:rsidRDefault="00412588" w:rsidP="0041258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BF1C4DD" w14:textId="2FEC4D64" w:rsidR="00B63593" w:rsidRPr="003E64AD" w:rsidRDefault="00B63593" w:rsidP="00412588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E64AD">
        <w:rPr>
          <w:rFonts w:asciiTheme="minorHAnsi" w:hAnsiTheme="minorHAnsi" w:cstheme="minorHAnsi"/>
          <w:color w:val="000000" w:themeColor="text1"/>
          <w:sz w:val="20"/>
          <w:szCs w:val="20"/>
        </w:rPr>
        <w:t>***</w:t>
      </w:r>
    </w:p>
    <w:p w14:paraId="051A4B73" w14:textId="77777777" w:rsidR="00B63593" w:rsidRPr="003E64AD" w:rsidRDefault="00B63593" w:rsidP="00412588">
      <w:pPr>
        <w:spacing w:line="276" w:lineRule="auto"/>
        <w:jc w:val="both"/>
        <w:rPr>
          <w:rFonts w:asciiTheme="minorHAnsi" w:hAnsiTheme="minorHAnsi" w:cstheme="minorHAnsi"/>
          <w:color w:val="C00000"/>
          <w:sz w:val="20"/>
          <w:szCs w:val="20"/>
        </w:rPr>
      </w:pPr>
    </w:p>
    <w:p w14:paraId="5CCD2350" w14:textId="08A54A65" w:rsidR="00B63593" w:rsidRPr="0098363D" w:rsidRDefault="00694017" w:rsidP="0069401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694017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LUG S.A. </w:t>
      </w:r>
      <w:proofErr w:type="spellStart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>is</w:t>
      </w:r>
      <w:proofErr w:type="spellEnd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a holding </w:t>
      </w:r>
      <w:proofErr w:type="spellStart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>company</w:t>
      </w:r>
      <w:proofErr w:type="spellEnd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of the LUG S.A. Capital </w:t>
      </w:r>
      <w:proofErr w:type="spellStart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>Group</w:t>
      </w:r>
      <w:proofErr w:type="spellEnd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 – one of the </w:t>
      </w:r>
      <w:proofErr w:type="spellStart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>leading</w:t>
      </w:r>
      <w:proofErr w:type="spellEnd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>European</w:t>
      </w:r>
      <w:proofErr w:type="spellEnd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>manufacturers</w:t>
      </w:r>
      <w:proofErr w:type="spellEnd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of </w:t>
      </w:r>
      <w:proofErr w:type="spellStart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>professional</w:t>
      </w:r>
      <w:proofErr w:type="spellEnd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>lighting</w:t>
      </w:r>
      <w:proofErr w:type="spellEnd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>solutions</w:t>
      </w:r>
      <w:proofErr w:type="spellEnd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 The </w:t>
      </w:r>
      <w:proofErr w:type="spellStart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>Group</w:t>
      </w:r>
      <w:proofErr w:type="spellEnd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>sells</w:t>
      </w:r>
      <w:proofErr w:type="spellEnd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>its</w:t>
      </w:r>
      <w:proofErr w:type="spellEnd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products in Poland and in </w:t>
      </w:r>
      <w:proofErr w:type="spellStart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>dozens</w:t>
      </w:r>
      <w:proofErr w:type="spellEnd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of </w:t>
      </w:r>
      <w:proofErr w:type="spellStart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>countries</w:t>
      </w:r>
      <w:proofErr w:type="spellEnd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>around</w:t>
      </w:r>
      <w:proofErr w:type="spellEnd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the </w:t>
      </w:r>
      <w:proofErr w:type="spellStart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>world</w:t>
      </w:r>
      <w:proofErr w:type="spellEnd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 The </w:t>
      </w:r>
      <w:proofErr w:type="spellStart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>company</w:t>
      </w:r>
      <w:proofErr w:type="spellEnd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with </w:t>
      </w:r>
      <w:proofErr w:type="spellStart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>over</w:t>
      </w:r>
      <w:proofErr w:type="spellEnd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30 </w:t>
      </w:r>
      <w:proofErr w:type="spellStart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>years</w:t>
      </w:r>
      <w:proofErr w:type="spellEnd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of </w:t>
      </w:r>
      <w:proofErr w:type="spellStart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>experience</w:t>
      </w:r>
      <w:proofErr w:type="spellEnd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</w:t>
      </w:r>
      <w:proofErr w:type="spellStart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>based</w:t>
      </w:r>
      <w:proofErr w:type="spellEnd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in Zielona Góra, </w:t>
      </w:r>
      <w:proofErr w:type="spellStart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>has</w:t>
      </w:r>
      <w:proofErr w:type="spellEnd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>been</w:t>
      </w:r>
      <w:proofErr w:type="spellEnd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>operating</w:t>
      </w:r>
      <w:proofErr w:type="spellEnd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as a Capital </w:t>
      </w:r>
      <w:proofErr w:type="spellStart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>Group</w:t>
      </w:r>
      <w:proofErr w:type="spellEnd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>since</w:t>
      </w:r>
      <w:proofErr w:type="spellEnd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2008.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It </w:t>
      </w:r>
      <w:proofErr w:type="spellStart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>consists</w:t>
      </w:r>
      <w:proofErr w:type="spellEnd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of: LUG S.A.,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LUG </w:t>
      </w:r>
      <w:proofErr w:type="spellStart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>Light</w:t>
      </w:r>
      <w:proofErr w:type="spellEnd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>Factory</w:t>
      </w:r>
      <w:proofErr w:type="spellEnd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Sp. z o.o., LUG GmbH, LUG do </w:t>
      </w:r>
      <w:proofErr w:type="spellStart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>Brasil</w:t>
      </w:r>
      <w:proofErr w:type="spellEnd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>Ltda</w:t>
      </w:r>
      <w:proofErr w:type="spellEnd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LUG </w:t>
      </w:r>
      <w:proofErr w:type="spellStart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>Lighting</w:t>
      </w:r>
      <w:proofErr w:type="spellEnd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UK Ltd., TOW LUG </w:t>
      </w:r>
      <w:proofErr w:type="spellStart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>Ukraine</w:t>
      </w:r>
      <w:proofErr w:type="spellEnd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BIOT Sp. z o.o., 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LUG </w:t>
      </w:r>
      <w:proofErr w:type="spellStart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>Argentina</w:t>
      </w:r>
      <w:proofErr w:type="spellEnd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S.A., LUG Turkey, LUG Services Sp. z o.o., ESCOLIGHT Sp. z o. o. LUG S.A. </w:t>
      </w:r>
      <w:proofErr w:type="spellStart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>since</w:t>
      </w:r>
      <w:proofErr w:type="spellEnd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>November</w:t>
      </w:r>
      <w:proofErr w:type="spellEnd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2007 </w:t>
      </w:r>
      <w:proofErr w:type="spellStart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>it</w:t>
      </w:r>
      <w:proofErr w:type="spellEnd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>has</w:t>
      </w:r>
      <w:proofErr w:type="spellEnd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>been</w:t>
      </w:r>
      <w:proofErr w:type="spellEnd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>listed</w:t>
      </w:r>
      <w:proofErr w:type="spellEnd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on the </w:t>
      </w:r>
      <w:proofErr w:type="spellStart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>NewConnect</w:t>
      </w:r>
      <w:proofErr w:type="spellEnd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market </w:t>
      </w:r>
      <w:proofErr w:type="spellStart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>managed</w:t>
      </w:r>
      <w:proofErr w:type="spellEnd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by the </w:t>
      </w:r>
      <w:proofErr w:type="spellStart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>Warsaw</w:t>
      </w:r>
      <w:proofErr w:type="spellEnd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Stock Exchange. </w:t>
      </w:r>
      <w:proofErr w:type="spellStart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>More</w:t>
      </w:r>
      <w:proofErr w:type="spellEnd"/>
      <w:r w:rsidRPr="00694017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information</w:t>
      </w:r>
      <w:r w:rsidRPr="00694017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:</w:t>
      </w:r>
      <w:hyperlink r:id="rId7" w:history="1">
        <w:r w:rsidR="00B63593" w:rsidRPr="0098363D">
          <w:rPr>
            <w:rStyle w:val="Hipercze"/>
            <w:rFonts w:asciiTheme="minorHAnsi" w:hAnsiTheme="minorHAnsi" w:cstheme="minorHAnsi"/>
            <w:color w:val="000000" w:themeColor="text1"/>
            <w:sz w:val="18"/>
            <w:szCs w:val="18"/>
          </w:rPr>
          <w:t>www.lug.com.pl</w:t>
        </w:r>
      </w:hyperlink>
    </w:p>
    <w:p w14:paraId="116A76E0" w14:textId="77777777" w:rsidR="00B63593" w:rsidRPr="003E64AD" w:rsidRDefault="00B63593" w:rsidP="00412588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3C5F2D44" w14:textId="5425151A" w:rsidR="00B63593" w:rsidRPr="003E64AD" w:rsidRDefault="00B1532A" w:rsidP="00412588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Contact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 for media</w:t>
      </w:r>
      <w:r w:rsidR="00B63593" w:rsidRPr="003E64AD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:</w:t>
      </w:r>
    </w:p>
    <w:p w14:paraId="1C235AD8" w14:textId="77777777" w:rsidR="00B63593" w:rsidRPr="003E64AD" w:rsidRDefault="00B63593" w:rsidP="00412588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E64A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Monika Bartoszak, </w:t>
      </w:r>
      <w:r w:rsidRPr="003E64AD">
        <w:rPr>
          <w:rFonts w:asciiTheme="minorHAnsi" w:hAnsiTheme="minorHAnsi" w:cstheme="minorHAnsi"/>
          <w:color w:val="000000" w:themeColor="text1"/>
          <w:sz w:val="20"/>
          <w:szCs w:val="20"/>
        </w:rPr>
        <w:t>Dyrektor Biura Zarządu i Komunikacji, tel. +48 510 183 993, e-mail:</w:t>
      </w:r>
      <w:r w:rsidRPr="003E64AD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hyperlink r:id="rId8" w:history="1">
        <w:r w:rsidRPr="003E64AD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monika.bartoszak@lug.com.pl</w:t>
        </w:r>
      </w:hyperlink>
    </w:p>
    <w:p w14:paraId="17DEDED0" w14:textId="43BC56E8" w:rsidR="00A65718" w:rsidRPr="003E64AD" w:rsidRDefault="00B63593" w:rsidP="00573F7D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Theme="minorHAnsi" w:hAnsiTheme="minorHAnsi" w:cstheme="minorHAnsi"/>
          <w:color w:val="C00000"/>
          <w:sz w:val="20"/>
          <w:szCs w:val="20"/>
          <w:lang w:val="fr-FR"/>
        </w:rPr>
      </w:pPr>
      <w:r w:rsidRPr="003E64A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Kamila Górczyńska-Żyżkowska</w:t>
      </w:r>
      <w:r w:rsidRPr="003E64A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In </w:t>
      </w:r>
      <w:proofErr w:type="spellStart"/>
      <w:r w:rsidRPr="003E64AD">
        <w:rPr>
          <w:rFonts w:asciiTheme="minorHAnsi" w:hAnsiTheme="minorHAnsi" w:cstheme="minorHAnsi"/>
          <w:color w:val="000000" w:themeColor="text1"/>
          <w:sz w:val="20"/>
          <w:szCs w:val="20"/>
        </w:rPr>
        <w:t>Touch</w:t>
      </w:r>
      <w:proofErr w:type="spellEnd"/>
      <w:r w:rsidRPr="003E64A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tel. </w:t>
      </w:r>
      <w:r w:rsidRPr="003E64AD">
        <w:rPr>
          <w:rFonts w:asciiTheme="minorHAnsi" w:hAnsiTheme="minorHAnsi" w:cstheme="minorHAnsi"/>
          <w:color w:val="000000" w:themeColor="text1"/>
          <w:sz w:val="20"/>
          <w:szCs w:val="20"/>
          <w:lang w:val="fr-FR"/>
        </w:rPr>
        <w:t>+48 601 805 484, e-mail:</w:t>
      </w:r>
      <w:r w:rsidR="00C17FF8" w:rsidRPr="003E64AD">
        <w:rPr>
          <w:rFonts w:asciiTheme="minorHAnsi" w:hAnsiTheme="minorHAnsi" w:cstheme="minorHAnsi"/>
          <w:color w:val="000000" w:themeColor="text1"/>
          <w:sz w:val="20"/>
          <w:szCs w:val="20"/>
          <w:lang w:val="fr-FR"/>
        </w:rPr>
        <w:t xml:space="preserve"> </w:t>
      </w:r>
      <w:hyperlink r:id="rId9" w:history="1">
        <w:r w:rsidR="00C17FF8" w:rsidRPr="003E64AD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  <w:lang w:val="fr-FR"/>
          </w:rPr>
          <w:t>kamila.zyzkowska@intouchpr.pl</w:t>
        </w:r>
      </w:hyperlink>
      <w:r w:rsidRPr="003E64AD">
        <w:rPr>
          <w:rFonts w:asciiTheme="minorHAnsi" w:hAnsiTheme="minorHAnsi" w:cstheme="minorHAnsi"/>
          <w:color w:val="000000" w:themeColor="text1"/>
          <w:sz w:val="20"/>
          <w:szCs w:val="20"/>
          <w:lang w:val="fr-FR"/>
        </w:rPr>
        <w:tab/>
      </w:r>
    </w:p>
    <w:p w14:paraId="55F49D95" w14:textId="77777777" w:rsidR="002A2736" w:rsidRPr="003E64AD" w:rsidRDefault="002A2736" w:rsidP="00412588">
      <w:pPr>
        <w:spacing w:line="276" w:lineRule="auto"/>
        <w:rPr>
          <w:rFonts w:asciiTheme="minorHAnsi" w:hAnsiTheme="minorHAnsi" w:cstheme="minorHAnsi"/>
          <w:color w:val="C00000"/>
          <w:sz w:val="20"/>
          <w:szCs w:val="20"/>
          <w:lang w:val="fr-FR"/>
        </w:rPr>
      </w:pPr>
    </w:p>
    <w:sectPr w:rsidR="002A2736" w:rsidRPr="003E64AD" w:rsidSect="0012404D">
      <w:headerReference w:type="default" r:id="rId10"/>
      <w:footerReference w:type="default" r:id="rId11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AFDE0" w14:textId="77777777" w:rsidR="00905C22" w:rsidRDefault="00905C22">
      <w:r>
        <w:separator/>
      </w:r>
    </w:p>
  </w:endnote>
  <w:endnote w:type="continuationSeparator" w:id="0">
    <w:p w14:paraId="228A9493" w14:textId="77777777" w:rsidR="00905C22" w:rsidRDefault="0090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l">
    <w:altName w:val="Calibri"/>
    <w:charset w:val="EE"/>
    <w:family w:val="auto"/>
    <w:pitch w:val="variable"/>
    <w:sig w:usb0="00000001" w:usb1="0000004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E187" w14:textId="77777777" w:rsidR="00385BCA" w:rsidRPr="001000FF" w:rsidRDefault="006F7818">
    <w:pPr>
      <w:pStyle w:val="Stopka"/>
    </w:pPr>
    <w:r>
      <w:rPr>
        <w:noProof/>
      </w:rPr>
      <w:drawing>
        <wp:inline distT="0" distB="0" distL="0" distR="0" wp14:anchorId="2294649D" wp14:editId="31E49029">
          <wp:extent cx="5892800" cy="46990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B36D8" w14:textId="77777777" w:rsidR="00905C22" w:rsidRDefault="00905C22">
      <w:r>
        <w:separator/>
      </w:r>
    </w:p>
  </w:footnote>
  <w:footnote w:type="continuationSeparator" w:id="0">
    <w:p w14:paraId="0CE6A9BD" w14:textId="77777777" w:rsidR="00905C22" w:rsidRDefault="00905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01C0" w14:textId="77777777" w:rsidR="00385BCA" w:rsidRPr="00A83E2A" w:rsidRDefault="006F7818">
    <w:pPr>
      <w:pStyle w:val="Nagwek"/>
    </w:pPr>
    <w:r>
      <w:rPr>
        <w:noProof/>
      </w:rPr>
      <w:drawing>
        <wp:inline distT="0" distB="0" distL="0" distR="0" wp14:anchorId="0B7B169D" wp14:editId="0C1F29D4">
          <wp:extent cx="5892800" cy="64770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BCA">
      <w:t xml:space="preserve">         </w:t>
    </w:r>
  </w:p>
  <w:p w14:paraId="73780846" w14:textId="77777777" w:rsidR="00385BCA" w:rsidRPr="007858B1" w:rsidRDefault="00385BCA">
    <w:pPr>
      <w:pStyle w:val="Nagwek"/>
      <w:rPr>
        <w:rFonts w:ascii="DINPl" w:hAnsi="DINPl"/>
      </w:rPr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1BA"/>
    <w:multiLevelType w:val="hybridMultilevel"/>
    <w:tmpl w:val="D7906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55A70"/>
    <w:multiLevelType w:val="hybridMultilevel"/>
    <w:tmpl w:val="92928428"/>
    <w:lvl w:ilvl="0" w:tplc="260E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626136">
    <w:abstractNumId w:val="1"/>
  </w:num>
  <w:num w:numId="2" w16cid:durableId="136709702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D8"/>
    <w:rsid w:val="00004719"/>
    <w:rsid w:val="00013146"/>
    <w:rsid w:val="00015F70"/>
    <w:rsid w:val="000246AD"/>
    <w:rsid w:val="0003379D"/>
    <w:rsid w:val="000349E7"/>
    <w:rsid w:val="00035471"/>
    <w:rsid w:val="0003580C"/>
    <w:rsid w:val="000375C8"/>
    <w:rsid w:val="00041B56"/>
    <w:rsid w:val="00042A10"/>
    <w:rsid w:val="00047B92"/>
    <w:rsid w:val="00052F9A"/>
    <w:rsid w:val="00054E47"/>
    <w:rsid w:val="00054F99"/>
    <w:rsid w:val="000559BD"/>
    <w:rsid w:val="00056C5A"/>
    <w:rsid w:val="000611A8"/>
    <w:rsid w:val="00061358"/>
    <w:rsid w:val="00063307"/>
    <w:rsid w:val="00064003"/>
    <w:rsid w:val="00072A1C"/>
    <w:rsid w:val="00074DD0"/>
    <w:rsid w:val="00076F93"/>
    <w:rsid w:val="000821FE"/>
    <w:rsid w:val="00087E54"/>
    <w:rsid w:val="000902E5"/>
    <w:rsid w:val="00090935"/>
    <w:rsid w:val="00090B31"/>
    <w:rsid w:val="0009276F"/>
    <w:rsid w:val="0009278B"/>
    <w:rsid w:val="00094F3E"/>
    <w:rsid w:val="000A0439"/>
    <w:rsid w:val="000A5B17"/>
    <w:rsid w:val="000C654F"/>
    <w:rsid w:val="000D13B2"/>
    <w:rsid w:val="000D23A8"/>
    <w:rsid w:val="000D6ECD"/>
    <w:rsid w:val="000D7887"/>
    <w:rsid w:val="000E5743"/>
    <w:rsid w:val="000F50D0"/>
    <w:rsid w:val="000F5108"/>
    <w:rsid w:val="001000FF"/>
    <w:rsid w:val="00111D1A"/>
    <w:rsid w:val="00111E31"/>
    <w:rsid w:val="00116299"/>
    <w:rsid w:val="00122D1E"/>
    <w:rsid w:val="0012404D"/>
    <w:rsid w:val="00126870"/>
    <w:rsid w:val="0012706E"/>
    <w:rsid w:val="00132B2A"/>
    <w:rsid w:val="00135CC2"/>
    <w:rsid w:val="0013764C"/>
    <w:rsid w:val="001413BC"/>
    <w:rsid w:val="00145140"/>
    <w:rsid w:val="00150D07"/>
    <w:rsid w:val="00152A17"/>
    <w:rsid w:val="00161624"/>
    <w:rsid w:val="00162F7A"/>
    <w:rsid w:val="00170496"/>
    <w:rsid w:val="001727B5"/>
    <w:rsid w:val="00173A9D"/>
    <w:rsid w:val="00176051"/>
    <w:rsid w:val="001776C6"/>
    <w:rsid w:val="00180BD6"/>
    <w:rsid w:val="001857FF"/>
    <w:rsid w:val="00194EDF"/>
    <w:rsid w:val="001A5C48"/>
    <w:rsid w:val="001A67D8"/>
    <w:rsid w:val="001A766B"/>
    <w:rsid w:val="001B2C9B"/>
    <w:rsid w:val="001B4510"/>
    <w:rsid w:val="001B5996"/>
    <w:rsid w:val="001C033C"/>
    <w:rsid w:val="001C071C"/>
    <w:rsid w:val="001C2687"/>
    <w:rsid w:val="001C2BDB"/>
    <w:rsid w:val="001D007A"/>
    <w:rsid w:val="001D57A4"/>
    <w:rsid w:val="001E0146"/>
    <w:rsid w:val="001E03F6"/>
    <w:rsid w:val="001E130C"/>
    <w:rsid w:val="001E6AC9"/>
    <w:rsid w:val="001F19AC"/>
    <w:rsid w:val="001F4C1E"/>
    <w:rsid w:val="001F6867"/>
    <w:rsid w:val="0020007E"/>
    <w:rsid w:val="00201493"/>
    <w:rsid w:val="00206E36"/>
    <w:rsid w:val="0021021C"/>
    <w:rsid w:val="00213ABB"/>
    <w:rsid w:val="00213D49"/>
    <w:rsid w:val="00214312"/>
    <w:rsid w:val="00214C2B"/>
    <w:rsid w:val="002164ED"/>
    <w:rsid w:val="00220A66"/>
    <w:rsid w:val="00230718"/>
    <w:rsid w:val="00236B11"/>
    <w:rsid w:val="00242666"/>
    <w:rsid w:val="00242756"/>
    <w:rsid w:val="0024624B"/>
    <w:rsid w:val="002462AB"/>
    <w:rsid w:val="00250D2E"/>
    <w:rsid w:val="00252B0C"/>
    <w:rsid w:val="002551BF"/>
    <w:rsid w:val="00257350"/>
    <w:rsid w:val="0025763E"/>
    <w:rsid w:val="00260062"/>
    <w:rsid w:val="0026580B"/>
    <w:rsid w:val="002675E5"/>
    <w:rsid w:val="002732FB"/>
    <w:rsid w:val="00273AB8"/>
    <w:rsid w:val="00280B48"/>
    <w:rsid w:val="00284FD0"/>
    <w:rsid w:val="00294DAF"/>
    <w:rsid w:val="00297FAD"/>
    <w:rsid w:val="002A0DD6"/>
    <w:rsid w:val="002A1EAF"/>
    <w:rsid w:val="002A2736"/>
    <w:rsid w:val="002A448D"/>
    <w:rsid w:val="002A4B7D"/>
    <w:rsid w:val="002B03D9"/>
    <w:rsid w:val="002B1B76"/>
    <w:rsid w:val="002B3947"/>
    <w:rsid w:val="002B3BEB"/>
    <w:rsid w:val="002B433A"/>
    <w:rsid w:val="002B6D6B"/>
    <w:rsid w:val="002C06E9"/>
    <w:rsid w:val="002C2136"/>
    <w:rsid w:val="002C5909"/>
    <w:rsid w:val="002D4249"/>
    <w:rsid w:val="002D5656"/>
    <w:rsid w:val="002D5E50"/>
    <w:rsid w:val="002D67CE"/>
    <w:rsid w:val="002D68B3"/>
    <w:rsid w:val="002D6FFB"/>
    <w:rsid w:val="002E3000"/>
    <w:rsid w:val="002E46BF"/>
    <w:rsid w:val="002E7BDC"/>
    <w:rsid w:val="002F4425"/>
    <w:rsid w:val="002F6F45"/>
    <w:rsid w:val="00304CC3"/>
    <w:rsid w:val="003058F7"/>
    <w:rsid w:val="00306E7B"/>
    <w:rsid w:val="00316B02"/>
    <w:rsid w:val="00317439"/>
    <w:rsid w:val="00317797"/>
    <w:rsid w:val="0032014F"/>
    <w:rsid w:val="00323A67"/>
    <w:rsid w:val="003273D1"/>
    <w:rsid w:val="003305D7"/>
    <w:rsid w:val="00332B11"/>
    <w:rsid w:val="00333EC4"/>
    <w:rsid w:val="00336495"/>
    <w:rsid w:val="003369D2"/>
    <w:rsid w:val="00341305"/>
    <w:rsid w:val="0034275D"/>
    <w:rsid w:val="00343D7F"/>
    <w:rsid w:val="00346839"/>
    <w:rsid w:val="00352F88"/>
    <w:rsid w:val="0035449F"/>
    <w:rsid w:val="003577F6"/>
    <w:rsid w:val="00364E21"/>
    <w:rsid w:val="0036587D"/>
    <w:rsid w:val="00370B54"/>
    <w:rsid w:val="00374FDA"/>
    <w:rsid w:val="00375386"/>
    <w:rsid w:val="003767A4"/>
    <w:rsid w:val="003773D5"/>
    <w:rsid w:val="00382A2A"/>
    <w:rsid w:val="00384B23"/>
    <w:rsid w:val="00385915"/>
    <w:rsid w:val="00385BCA"/>
    <w:rsid w:val="003867A6"/>
    <w:rsid w:val="00387FB4"/>
    <w:rsid w:val="0039083E"/>
    <w:rsid w:val="003924EA"/>
    <w:rsid w:val="00393C2F"/>
    <w:rsid w:val="00394C24"/>
    <w:rsid w:val="00396023"/>
    <w:rsid w:val="003A0F69"/>
    <w:rsid w:val="003A1160"/>
    <w:rsid w:val="003A4553"/>
    <w:rsid w:val="003A5F5E"/>
    <w:rsid w:val="003B575E"/>
    <w:rsid w:val="003C510E"/>
    <w:rsid w:val="003C6689"/>
    <w:rsid w:val="003D1273"/>
    <w:rsid w:val="003D25F7"/>
    <w:rsid w:val="003D34A8"/>
    <w:rsid w:val="003E1920"/>
    <w:rsid w:val="003E64AD"/>
    <w:rsid w:val="004010D6"/>
    <w:rsid w:val="004025EB"/>
    <w:rsid w:val="00406C90"/>
    <w:rsid w:val="00412588"/>
    <w:rsid w:val="004175D0"/>
    <w:rsid w:val="004178D7"/>
    <w:rsid w:val="00420541"/>
    <w:rsid w:val="00423EF2"/>
    <w:rsid w:val="0043766E"/>
    <w:rsid w:val="00441DBD"/>
    <w:rsid w:val="004425E5"/>
    <w:rsid w:val="00456963"/>
    <w:rsid w:val="0046429A"/>
    <w:rsid w:val="00471381"/>
    <w:rsid w:val="00477560"/>
    <w:rsid w:val="00480DA5"/>
    <w:rsid w:val="004816EA"/>
    <w:rsid w:val="00490868"/>
    <w:rsid w:val="00492A53"/>
    <w:rsid w:val="00497549"/>
    <w:rsid w:val="004A0C31"/>
    <w:rsid w:val="004B26C6"/>
    <w:rsid w:val="004B562C"/>
    <w:rsid w:val="004B74DD"/>
    <w:rsid w:val="004C40D3"/>
    <w:rsid w:val="004C4931"/>
    <w:rsid w:val="004D1890"/>
    <w:rsid w:val="004D3944"/>
    <w:rsid w:val="004D54DF"/>
    <w:rsid w:val="004D584F"/>
    <w:rsid w:val="004D5D1F"/>
    <w:rsid w:val="004E06A2"/>
    <w:rsid w:val="004E0B15"/>
    <w:rsid w:val="004E2C55"/>
    <w:rsid w:val="004E6401"/>
    <w:rsid w:val="004E65C0"/>
    <w:rsid w:val="004F04E5"/>
    <w:rsid w:val="004F1A1D"/>
    <w:rsid w:val="004F28D6"/>
    <w:rsid w:val="004F3CE3"/>
    <w:rsid w:val="00501B4A"/>
    <w:rsid w:val="00503E4C"/>
    <w:rsid w:val="00504FB7"/>
    <w:rsid w:val="00505C35"/>
    <w:rsid w:val="00513052"/>
    <w:rsid w:val="00522FA6"/>
    <w:rsid w:val="00524D31"/>
    <w:rsid w:val="00527582"/>
    <w:rsid w:val="00531831"/>
    <w:rsid w:val="005330EA"/>
    <w:rsid w:val="00541B42"/>
    <w:rsid w:val="00544BF7"/>
    <w:rsid w:val="0054577F"/>
    <w:rsid w:val="00547DA2"/>
    <w:rsid w:val="00551AED"/>
    <w:rsid w:val="00553D0F"/>
    <w:rsid w:val="00553F98"/>
    <w:rsid w:val="00555941"/>
    <w:rsid w:val="00555D30"/>
    <w:rsid w:val="00556C77"/>
    <w:rsid w:val="00562C7F"/>
    <w:rsid w:val="00564BE5"/>
    <w:rsid w:val="00566BBA"/>
    <w:rsid w:val="00570609"/>
    <w:rsid w:val="0057060A"/>
    <w:rsid w:val="00573BED"/>
    <w:rsid w:val="00573F7D"/>
    <w:rsid w:val="00574169"/>
    <w:rsid w:val="005754ED"/>
    <w:rsid w:val="00586E07"/>
    <w:rsid w:val="005876AF"/>
    <w:rsid w:val="005914CC"/>
    <w:rsid w:val="005926C6"/>
    <w:rsid w:val="005976C3"/>
    <w:rsid w:val="00597B56"/>
    <w:rsid w:val="005A3D71"/>
    <w:rsid w:val="005B1722"/>
    <w:rsid w:val="005B3ACF"/>
    <w:rsid w:val="005C1DD4"/>
    <w:rsid w:val="005C389E"/>
    <w:rsid w:val="005D406A"/>
    <w:rsid w:val="005E7A6A"/>
    <w:rsid w:val="005F0D4B"/>
    <w:rsid w:val="005F76FD"/>
    <w:rsid w:val="005F7DA2"/>
    <w:rsid w:val="00600CF7"/>
    <w:rsid w:val="00603B49"/>
    <w:rsid w:val="00603F87"/>
    <w:rsid w:val="00613AF7"/>
    <w:rsid w:val="00622426"/>
    <w:rsid w:val="00622CCC"/>
    <w:rsid w:val="006268D7"/>
    <w:rsid w:val="00627B89"/>
    <w:rsid w:val="00631381"/>
    <w:rsid w:val="00642DB5"/>
    <w:rsid w:val="00643A5D"/>
    <w:rsid w:val="00645692"/>
    <w:rsid w:val="00653355"/>
    <w:rsid w:val="00655B2F"/>
    <w:rsid w:val="00657990"/>
    <w:rsid w:val="006628B0"/>
    <w:rsid w:val="00672866"/>
    <w:rsid w:val="006754E4"/>
    <w:rsid w:val="00681326"/>
    <w:rsid w:val="00686503"/>
    <w:rsid w:val="006901B2"/>
    <w:rsid w:val="00694017"/>
    <w:rsid w:val="006945E8"/>
    <w:rsid w:val="00694E4B"/>
    <w:rsid w:val="006A0E87"/>
    <w:rsid w:val="006A1C74"/>
    <w:rsid w:val="006A1DC2"/>
    <w:rsid w:val="006A1FEB"/>
    <w:rsid w:val="006A2DD4"/>
    <w:rsid w:val="006A44D3"/>
    <w:rsid w:val="006A5BC0"/>
    <w:rsid w:val="006A7553"/>
    <w:rsid w:val="006B4788"/>
    <w:rsid w:val="006C0409"/>
    <w:rsid w:val="006C0F43"/>
    <w:rsid w:val="006C2CB0"/>
    <w:rsid w:val="006D0543"/>
    <w:rsid w:val="006D1916"/>
    <w:rsid w:val="006D1F0D"/>
    <w:rsid w:val="006D389A"/>
    <w:rsid w:val="006D6AE0"/>
    <w:rsid w:val="006E6939"/>
    <w:rsid w:val="006E6EC3"/>
    <w:rsid w:val="006E792E"/>
    <w:rsid w:val="006E7A6D"/>
    <w:rsid w:val="006F1B32"/>
    <w:rsid w:val="006F33D3"/>
    <w:rsid w:val="006F4451"/>
    <w:rsid w:val="006F4BB0"/>
    <w:rsid w:val="006F7818"/>
    <w:rsid w:val="00704A75"/>
    <w:rsid w:val="0070619B"/>
    <w:rsid w:val="00711058"/>
    <w:rsid w:val="00726222"/>
    <w:rsid w:val="00727420"/>
    <w:rsid w:val="007319A4"/>
    <w:rsid w:val="00732851"/>
    <w:rsid w:val="007437B3"/>
    <w:rsid w:val="00744D62"/>
    <w:rsid w:val="00746442"/>
    <w:rsid w:val="00747279"/>
    <w:rsid w:val="00747B19"/>
    <w:rsid w:val="007518F1"/>
    <w:rsid w:val="007531E0"/>
    <w:rsid w:val="00756349"/>
    <w:rsid w:val="007636FB"/>
    <w:rsid w:val="00764FDB"/>
    <w:rsid w:val="00765FB2"/>
    <w:rsid w:val="00767BA7"/>
    <w:rsid w:val="00773829"/>
    <w:rsid w:val="007749D8"/>
    <w:rsid w:val="00776828"/>
    <w:rsid w:val="00781648"/>
    <w:rsid w:val="007852CD"/>
    <w:rsid w:val="007858B1"/>
    <w:rsid w:val="00786977"/>
    <w:rsid w:val="00791BCA"/>
    <w:rsid w:val="00797F74"/>
    <w:rsid w:val="007A2D9D"/>
    <w:rsid w:val="007A716E"/>
    <w:rsid w:val="007B1CD6"/>
    <w:rsid w:val="007B430C"/>
    <w:rsid w:val="007B53F8"/>
    <w:rsid w:val="007B57CF"/>
    <w:rsid w:val="007C4322"/>
    <w:rsid w:val="007C43D9"/>
    <w:rsid w:val="007E5991"/>
    <w:rsid w:val="007E67F0"/>
    <w:rsid w:val="007F0798"/>
    <w:rsid w:val="007F0BFC"/>
    <w:rsid w:val="007F0CFA"/>
    <w:rsid w:val="007F125E"/>
    <w:rsid w:val="007F1608"/>
    <w:rsid w:val="007F2E15"/>
    <w:rsid w:val="007F4334"/>
    <w:rsid w:val="00804AAC"/>
    <w:rsid w:val="0080622F"/>
    <w:rsid w:val="00810E7E"/>
    <w:rsid w:val="00811CB2"/>
    <w:rsid w:val="008134C9"/>
    <w:rsid w:val="00813A55"/>
    <w:rsid w:val="00815F2F"/>
    <w:rsid w:val="0081679B"/>
    <w:rsid w:val="00825282"/>
    <w:rsid w:val="00825FA3"/>
    <w:rsid w:val="00826DB1"/>
    <w:rsid w:val="008273C5"/>
    <w:rsid w:val="0083292C"/>
    <w:rsid w:val="008377BE"/>
    <w:rsid w:val="00842080"/>
    <w:rsid w:val="00842F62"/>
    <w:rsid w:val="0084589D"/>
    <w:rsid w:val="00846B43"/>
    <w:rsid w:val="00850E4C"/>
    <w:rsid w:val="00854AFD"/>
    <w:rsid w:val="00861805"/>
    <w:rsid w:val="00862C17"/>
    <w:rsid w:val="00863089"/>
    <w:rsid w:val="0086504F"/>
    <w:rsid w:val="00865200"/>
    <w:rsid w:val="00870E91"/>
    <w:rsid w:val="008711FD"/>
    <w:rsid w:val="00871724"/>
    <w:rsid w:val="00872D84"/>
    <w:rsid w:val="00882D71"/>
    <w:rsid w:val="008832A9"/>
    <w:rsid w:val="00883D76"/>
    <w:rsid w:val="008850B7"/>
    <w:rsid w:val="00891086"/>
    <w:rsid w:val="0089129B"/>
    <w:rsid w:val="008926E6"/>
    <w:rsid w:val="0089387B"/>
    <w:rsid w:val="00894658"/>
    <w:rsid w:val="00895291"/>
    <w:rsid w:val="00896532"/>
    <w:rsid w:val="008A3467"/>
    <w:rsid w:val="008B7270"/>
    <w:rsid w:val="008B7ACE"/>
    <w:rsid w:val="008C71A3"/>
    <w:rsid w:val="008D0694"/>
    <w:rsid w:val="008D425A"/>
    <w:rsid w:val="008D574B"/>
    <w:rsid w:val="008D6EBD"/>
    <w:rsid w:val="008E1635"/>
    <w:rsid w:val="008E3CD3"/>
    <w:rsid w:val="008E4CFA"/>
    <w:rsid w:val="008E4FA8"/>
    <w:rsid w:val="008F0D44"/>
    <w:rsid w:val="009002E9"/>
    <w:rsid w:val="00901B6E"/>
    <w:rsid w:val="00903370"/>
    <w:rsid w:val="00905C22"/>
    <w:rsid w:val="009127BF"/>
    <w:rsid w:val="00914CCF"/>
    <w:rsid w:val="00914DB9"/>
    <w:rsid w:val="009175BC"/>
    <w:rsid w:val="00924FF7"/>
    <w:rsid w:val="0092679B"/>
    <w:rsid w:val="009315E1"/>
    <w:rsid w:val="009359F1"/>
    <w:rsid w:val="00935C9B"/>
    <w:rsid w:val="00944433"/>
    <w:rsid w:val="009457B5"/>
    <w:rsid w:val="00947B6B"/>
    <w:rsid w:val="00951E3B"/>
    <w:rsid w:val="00952421"/>
    <w:rsid w:val="00955EA8"/>
    <w:rsid w:val="00955FB9"/>
    <w:rsid w:val="009565C2"/>
    <w:rsid w:val="00957338"/>
    <w:rsid w:val="0097250B"/>
    <w:rsid w:val="0097419E"/>
    <w:rsid w:val="0097462B"/>
    <w:rsid w:val="009753E7"/>
    <w:rsid w:val="0098363D"/>
    <w:rsid w:val="00991922"/>
    <w:rsid w:val="00994EF1"/>
    <w:rsid w:val="009953D8"/>
    <w:rsid w:val="0099575A"/>
    <w:rsid w:val="00997263"/>
    <w:rsid w:val="009A06E2"/>
    <w:rsid w:val="009A7960"/>
    <w:rsid w:val="009B0F24"/>
    <w:rsid w:val="009B4120"/>
    <w:rsid w:val="009B4A99"/>
    <w:rsid w:val="009B5569"/>
    <w:rsid w:val="009C0E80"/>
    <w:rsid w:val="009C278E"/>
    <w:rsid w:val="009C4B23"/>
    <w:rsid w:val="009C4BEF"/>
    <w:rsid w:val="009C6A79"/>
    <w:rsid w:val="009C6F3D"/>
    <w:rsid w:val="009D23E4"/>
    <w:rsid w:val="009D3845"/>
    <w:rsid w:val="009E1C1E"/>
    <w:rsid w:val="009F1353"/>
    <w:rsid w:val="009F3B14"/>
    <w:rsid w:val="009F5288"/>
    <w:rsid w:val="009F6480"/>
    <w:rsid w:val="00A0186C"/>
    <w:rsid w:val="00A03E12"/>
    <w:rsid w:val="00A03E4E"/>
    <w:rsid w:val="00A04BDA"/>
    <w:rsid w:val="00A119BA"/>
    <w:rsid w:val="00A11C36"/>
    <w:rsid w:val="00A22730"/>
    <w:rsid w:val="00A22A98"/>
    <w:rsid w:val="00A2312C"/>
    <w:rsid w:val="00A25195"/>
    <w:rsid w:val="00A27F9D"/>
    <w:rsid w:val="00A3323B"/>
    <w:rsid w:val="00A363B5"/>
    <w:rsid w:val="00A40C72"/>
    <w:rsid w:val="00A46CBE"/>
    <w:rsid w:val="00A65718"/>
    <w:rsid w:val="00A65EB2"/>
    <w:rsid w:val="00A70A42"/>
    <w:rsid w:val="00A72F57"/>
    <w:rsid w:val="00A82DB1"/>
    <w:rsid w:val="00A83E2A"/>
    <w:rsid w:val="00A84E9A"/>
    <w:rsid w:val="00A864FE"/>
    <w:rsid w:val="00A94E55"/>
    <w:rsid w:val="00A955BD"/>
    <w:rsid w:val="00A96A7D"/>
    <w:rsid w:val="00A96C16"/>
    <w:rsid w:val="00AA6873"/>
    <w:rsid w:val="00AA6EF9"/>
    <w:rsid w:val="00AB14B5"/>
    <w:rsid w:val="00AB2089"/>
    <w:rsid w:val="00AB3F8C"/>
    <w:rsid w:val="00AB592D"/>
    <w:rsid w:val="00AB628F"/>
    <w:rsid w:val="00AC77CB"/>
    <w:rsid w:val="00AD6DB1"/>
    <w:rsid w:val="00AE33C0"/>
    <w:rsid w:val="00AE457F"/>
    <w:rsid w:val="00AF0B47"/>
    <w:rsid w:val="00AF17D8"/>
    <w:rsid w:val="00AF1E57"/>
    <w:rsid w:val="00AF2057"/>
    <w:rsid w:val="00AF6396"/>
    <w:rsid w:val="00B00456"/>
    <w:rsid w:val="00B00B52"/>
    <w:rsid w:val="00B027B4"/>
    <w:rsid w:val="00B02C41"/>
    <w:rsid w:val="00B05588"/>
    <w:rsid w:val="00B062FF"/>
    <w:rsid w:val="00B07781"/>
    <w:rsid w:val="00B07AB3"/>
    <w:rsid w:val="00B1532A"/>
    <w:rsid w:val="00B20FDC"/>
    <w:rsid w:val="00B22D6E"/>
    <w:rsid w:val="00B26A14"/>
    <w:rsid w:val="00B30281"/>
    <w:rsid w:val="00B340D3"/>
    <w:rsid w:val="00B438D8"/>
    <w:rsid w:val="00B47D9A"/>
    <w:rsid w:val="00B55275"/>
    <w:rsid w:val="00B63593"/>
    <w:rsid w:val="00B73710"/>
    <w:rsid w:val="00B77EA1"/>
    <w:rsid w:val="00B804E2"/>
    <w:rsid w:val="00B80BDD"/>
    <w:rsid w:val="00B80F6C"/>
    <w:rsid w:val="00B81952"/>
    <w:rsid w:val="00B84549"/>
    <w:rsid w:val="00B85998"/>
    <w:rsid w:val="00B85B15"/>
    <w:rsid w:val="00B87227"/>
    <w:rsid w:val="00B8779D"/>
    <w:rsid w:val="00B931C1"/>
    <w:rsid w:val="00B93BD2"/>
    <w:rsid w:val="00B94D8D"/>
    <w:rsid w:val="00B958D7"/>
    <w:rsid w:val="00BA380A"/>
    <w:rsid w:val="00BA4A95"/>
    <w:rsid w:val="00BA65A8"/>
    <w:rsid w:val="00BA78D2"/>
    <w:rsid w:val="00BB0F33"/>
    <w:rsid w:val="00BB2B45"/>
    <w:rsid w:val="00BB3387"/>
    <w:rsid w:val="00BB566E"/>
    <w:rsid w:val="00BC0E73"/>
    <w:rsid w:val="00BC2308"/>
    <w:rsid w:val="00BC263F"/>
    <w:rsid w:val="00BC2F65"/>
    <w:rsid w:val="00BC415F"/>
    <w:rsid w:val="00BD0410"/>
    <w:rsid w:val="00BD2C71"/>
    <w:rsid w:val="00BD332A"/>
    <w:rsid w:val="00BD7E83"/>
    <w:rsid w:val="00BE1735"/>
    <w:rsid w:val="00BE30E4"/>
    <w:rsid w:val="00BE3A59"/>
    <w:rsid w:val="00BE4C01"/>
    <w:rsid w:val="00BE5722"/>
    <w:rsid w:val="00BE69CA"/>
    <w:rsid w:val="00BF114C"/>
    <w:rsid w:val="00BF33C0"/>
    <w:rsid w:val="00C016F4"/>
    <w:rsid w:val="00C01855"/>
    <w:rsid w:val="00C01B57"/>
    <w:rsid w:val="00C02520"/>
    <w:rsid w:val="00C0287F"/>
    <w:rsid w:val="00C05A86"/>
    <w:rsid w:val="00C05E98"/>
    <w:rsid w:val="00C06221"/>
    <w:rsid w:val="00C10246"/>
    <w:rsid w:val="00C10FE0"/>
    <w:rsid w:val="00C11D13"/>
    <w:rsid w:val="00C124E6"/>
    <w:rsid w:val="00C1452A"/>
    <w:rsid w:val="00C17FF8"/>
    <w:rsid w:val="00C201A7"/>
    <w:rsid w:val="00C3021A"/>
    <w:rsid w:val="00C353C4"/>
    <w:rsid w:val="00C35702"/>
    <w:rsid w:val="00C36FF5"/>
    <w:rsid w:val="00C40EB0"/>
    <w:rsid w:val="00C43F21"/>
    <w:rsid w:val="00C443AA"/>
    <w:rsid w:val="00C45440"/>
    <w:rsid w:val="00C474D8"/>
    <w:rsid w:val="00C50D9A"/>
    <w:rsid w:val="00C53545"/>
    <w:rsid w:val="00C53C00"/>
    <w:rsid w:val="00C53E0E"/>
    <w:rsid w:val="00C53F6F"/>
    <w:rsid w:val="00C55A35"/>
    <w:rsid w:val="00C56134"/>
    <w:rsid w:val="00C60F61"/>
    <w:rsid w:val="00C61C4A"/>
    <w:rsid w:val="00C6317B"/>
    <w:rsid w:val="00C65E50"/>
    <w:rsid w:val="00C66C69"/>
    <w:rsid w:val="00C729BB"/>
    <w:rsid w:val="00C72DD8"/>
    <w:rsid w:val="00C73AF9"/>
    <w:rsid w:val="00C74955"/>
    <w:rsid w:val="00C74979"/>
    <w:rsid w:val="00C77E59"/>
    <w:rsid w:val="00C820ED"/>
    <w:rsid w:val="00C82ADD"/>
    <w:rsid w:val="00C82E5B"/>
    <w:rsid w:val="00C85070"/>
    <w:rsid w:val="00C861CC"/>
    <w:rsid w:val="00C92535"/>
    <w:rsid w:val="00C927AA"/>
    <w:rsid w:val="00C94942"/>
    <w:rsid w:val="00C9567B"/>
    <w:rsid w:val="00C971F1"/>
    <w:rsid w:val="00C978AE"/>
    <w:rsid w:val="00C97C4A"/>
    <w:rsid w:val="00C97DC1"/>
    <w:rsid w:val="00CA2B3C"/>
    <w:rsid w:val="00CA353E"/>
    <w:rsid w:val="00CA45D0"/>
    <w:rsid w:val="00CA5433"/>
    <w:rsid w:val="00CA76EC"/>
    <w:rsid w:val="00CB26B0"/>
    <w:rsid w:val="00CB416D"/>
    <w:rsid w:val="00CB57F7"/>
    <w:rsid w:val="00CC6441"/>
    <w:rsid w:val="00CD1894"/>
    <w:rsid w:val="00CE0F3D"/>
    <w:rsid w:val="00CE6E37"/>
    <w:rsid w:val="00CF1620"/>
    <w:rsid w:val="00CF7071"/>
    <w:rsid w:val="00D06519"/>
    <w:rsid w:val="00D1353C"/>
    <w:rsid w:val="00D16C3B"/>
    <w:rsid w:val="00D17976"/>
    <w:rsid w:val="00D21335"/>
    <w:rsid w:val="00D226E8"/>
    <w:rsid w:val="00D25C4C"/>
    <w:rsid w:val="00D26087"/>
    <w:rsid w:val="00D27185"/>
    <w:rsid w:val="00D3787A"/>
    <w:rsid w:val="00D42294"/>
    <w:rsid w:val="00D425F2"/>
    <w:rsid w:val="00D444D8"/>
    <w:rsid w:val="00D45343"/>
    <w:rsid w:val="00D45B74"/>
    <w:rsid w:val="00D46397"/>
    <w:rsid w:val="00D52877"/>
    <w:rsid w:val="00D53F5D"/>
    <w:rsid w:val="00D54FE9"/>
    <w:rsid w:val="00D55138"/>
    <w:rsid w:val="00D5748E"/>
    <w:rsid w:val="00D60ADA"/>
    <w:rsid w:val="00D72456"/>
    <w:rsid w:val="00D73EF2"/>
    <w:rsid w:val="00D770D4"/>
    <w:rsid w:val="00D7746C"/>
    <w:rsid w:val="00D81C12"/>
    <w:rsid w:val="00D8213A"/>
    <w:rsid w:val="00D823E0"/>
    <w:rsid w:val="00D85A19"/>
    <w:rsid w:val="00D94858"/>
    <w:rsid w:val="00D97730"/>
    <w:rsid w:val="00DA10A8"/>
    <w:rsid w:val="00DA1A8E"/>
    <w:rsid w:val="00DB10A1"/>
    <w:rsid w:val="00DC44E0"/>
    <w:rsid w:val="00DC6E08"/>
    <w:rsid w:val="00DD0310"/>
    <w:rsid w:val="00DD4A88"/>
    <w:rsid w:val="00DD5B6E"/>
    <w:rsid w:val="00DE0A1A"/>
    <w:rsid w:val="00DE1277"/>
    <w:rsid w:val="00DE6DB2"/>
    <w:rsid w:val="00DF2807"/>
    <w:rsid w:val="00DF619D"/>
    <w:rsid w:val="00E01ED8"/>
    <w:rsid w:val="00E04CE8"/>
    <w:rsid w:val="00E05EEB"/>
    <w:rsid w:val="00E0635C"/>
    <w:rsid w:val="00E07406"/>
    <w:rsid w:val="00E1533C"/>
    <w:rsid w:val="00E1586C"/>
    <w:rsid w:val="00E22E10"/>
    <w:rsid w:val="00E23EB3"/>
    <w:rsid w:val="00E246FC"/>
    <w:rsid w:val="00E46A59"/>
    <w:rsid w:val="00E46CE2"/>
    <w:rsid w:val="00E51CF6"/>
    <w:rsid w:val="00E53508"/>
    <w:rsid w:val="00E65DC4"/>
    <w:rsid w:val="00E67E0F"/>
    <w:rsid w:val="00E72999"/>
    <w:rsid w:val="00E763D9"/>
    <w:rsid w:val="00E86618"/>
    <w:rsid w:val="00E916EA"/>
    <w:rsid w:val="00E928D8"/>
    <w:rsid w:val="00E93A15"/>
    <w:rsid w:val="00E94076"/>
    <w:rsid w:val="00E9541B"/>
    <w:rsid w:val="00E96F09"/>
    <w:rsid w:val="00EB1EE0"/>
    <w:rsid w:val="00EB6434"/>
    <w:rsid w:val="00EC015D"/>
    <w:rsid w:val="00ED0135"/>
    <w:rsid w:val="00ED7726"/>
    <w:rsid w:val="00EE0864"/>
    <w:rsid w:val="00EE3DB7"/>
    <w:rsid w:val="00EE534C"/>
    <w:rsid w:val="00EE677D"/>
    <w:rsid w:val="00EE7834"/>
    <w:rsid w:val="00EF342A"/>
    <w:rsid w:val="00F15206"/>
    <w:rsid w:val="00F15D7C"/>
    <w:rsid w:val="00F21B54"/>
    <w:rsid w:val="00F21EB2"/>
    <w:rsid w:val="00F260D4"/>
    <w:rsid w:val="00F35979"/>
    <w:rsid w:val="00F412AF"/>
    <w:rsid w:val="00F42C1F"/>
    <w:rsid w:val="00F43D7D"/>
    <w:rsid w:val="00F43E13"/>
    <w:rsid w:val="00F444DA"/>
    <w:rsid w:val="00F45096"/>
    <w:rsid w:val="00F46516"/>
    <w:rsid w:val="00F50051"/>
    <w:rsid w:val="00F50E40"/>
    <w:rsid w:val="00F60E1E"/>
    <w:rsid w:val="00F64581"/>
    <w:rsid w:val="00F6735E"/>
    <w:rsid w:val="00F72203"/>
    <w:rsid w:val="00F747EB"/>
    <w:rsid w:val="00F76854"/>
    <w:rsid w:val="00F82806"/>
    <w:rsid w:val="00F92D78"/>
    <w:rsid w:val="00F93AB1"/>
    <w:rsid w:val="00F93B97"/>
    <w:rsid w:val="00F97407"/>
    <w:rsid w:val="00FA0894"/>
    <w:rsid w:val="00FA5DF6"/>
    <w:rsid w:val="00FB4E85"/>
    <w:rsid w:val="00FB583F"/>
    <w:rsid w:val="00FC2538"/>
    <w:rsid w:val="00FC6A8B"/>
    <w:rsid w:val="00FD1DCC"/>
    <w:rsid w:val="00FD2D0B"/>
    <w:rsid w:val="00FD4E95"/>
    <w:rsid w:val="00FD618C"/>
    <w:rsid w:val="00FD7D65"/>
    <w:rsid w:val="00FE2FAB"/>
    <w:rsid w:val="00FE66DA"/>
    <w:rsid w:val="00FF0BA0"/>
    <w:rsid w:val="00FF22D1"/>
    <w:rsid w:val="00FF28EB"/>
    <w:rsid w:val="00FF35E6"/>
    <w:rsid w:val="00FF447F"/>
    <w:rsid w:val="00FF56F3"/>
    <w:rsid w:val="00FF6148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F5DEC4"/>
  <w15:chartTrackingRefBased/>
  <w15:docId w15:val="{E738D00E-D66A-6648-A8C2-2F8A76B3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E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0F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59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customStyle="1" w:styleId="Jasnasiatkaakcent31">
    <w:name w:val="Jasna siatka — akcent 31"/>
    <w:basedOn w:val="Normalny"/>
    <w:uiPriority w:val="34"/>
    <w:qFormat/>
    <w:rsid w:val="000909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0186C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A0186C"/>
    <w:rPr>
      <w:rFonts w:ascii="Arial" w:hAnsi="Arial" w:cs="Arial"/>
      <w:b/>
      <w:bCs/>
      <w:kern w:val="32"/>
      <w:sz w:val="32"/>
      <w:szCs w:val="32"/>
    </w:rPr>
  </w:style>
  <w:style w:type="character" w:customStyle="1" w:styleId="redniasiatka1akcent2Znak">
    <w:name w:val="Średnia siatka 1 — akcent 2 Znak"/>
    <w:link w:val="rednialista2akcent4"/>
    <w:uiPriority w:val="34"/>
    <w:locked/>
    <w:rsid w:val="00A0186C"/>
    <w:rPr>
      <w:rFonts w:ascii="Calibri" w:eastAsia="Calibri" w:hAnsi="Calibri"/>
      <w:sz w:val="22"/>
      <w:szCs w:val="22"/>
      <w:lang w:eastAsia="en-US"/>
    </w:rPr>
  </w:style>
  <w:style w:type="table" w:styleId="rednialista2akcent4">
    <w:name w:val="Medium List 2 Accent 4"/>
    <w:basedOn w:val="Standardowy"/>
    <w:link w:val="redniasiatka1akcent2Znak"/>
    <w:uiPriority w:val="34"/>
    <w:rsid w:val="00A0186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23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3EB3"/>
    <w:rPr>
      <w:rFonts w:ascii="Segoe UI" w:hAnsi="Segoe UI" w:cs="Segoe UI"/>
      <w:sz w:val="18"/>
      <w:szCs w:val="18"/>
    </w:rPr>
  </w:style>
  <w:style w:type="character" w:customStyle="1" w:styleId="Kolorowecieniowanieakcent3Znak">
    <w:name w:val="Kolorowe cieniowanie — akcent 3 Znak"/>
    <w:link w:val="Jasnalistaakcent5"/>
    <w:uiPriority w:val="34"/>
    <w:locked/>
    <w:rsid w:val="00A04BDA"/>
    <w:rPr>
      <w:rFonts w:ascii="Calibri" w:eastAsia="Calibri" w:hAnsi="Calibri"/>
      <w:sz w:val="22"/>
      <w:szCs w:val="22"/>
      <w:lang w:eastAsia="en-US"/>
    </w:rPr>
  </w:style>
  <w:style w:type="table" w:styleId="Jasnalistaakcent5">
    <w:name w:val="Light List Accent 5"/>
    <w:basedOn w:val="Standardowy"/>
    <w:link w:val="Kolorowecieniowanieakcent3Znak"/>
    <w:uiPriority w:val="34"/>
    <w:rsid w:val="00A04B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abela-Siatka">
    <w:name w:val="Table Grid"/>
    <w:basedOn w:val="Standardowy"/>
    <w:uiPriority w:val="39"/>
    <w:rsid w:val="00E0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A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AF9"/>
  </w:style>
  <w:style w:type="character" w:styleId="Odwoanieprzypisudolnego">
    <w:name w:val="footnote reference"/>
    <w:basedOn w:val="Domylnaczcionkaakapitu"/>
    <w:uiPriority w:val="99"/>
    <w:unhideWhenUsed/>
    <w:rsid w:val="00C73A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3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310"/>
    <w:rPr>
      <w:b/>
      <w:bCs/>
    </w:rPr>
  </w:style>
  <w:style w:type="paragraph" w:styleId="Akapitzlist">
    <w:name w:val="List Paragraph"/>
    <w:basedOn w:val="Normalny"/>
    <w:uiPriority w:val="34"/>
    <w:qFormat/>
    <w:rsid w:val="00CF707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D0543"/>
    <w:rPr>
      <w:b/>
      <w:bCs/>
    </w:rPr>
  </w:style>
  <w:style w:type="character" w:styleId="Uwydatnienie">
    <w:name w:val="Emphasis"/>
    <w:basedOn w:val="Domylnaczcionkaakapitu"/>
    <w:uiPriority w:val="20"/>
    <w:qFormat/>
    <w:rsid w:val="006D0543"/>
    <w:rPr>
      <w:i/>
      <w:iCs/>
    </w:rPr>
  </w:style>
  <w:style w:type="character" w:customStyle="1" w:styleId="apple-converted-space">
    <w:name w:val="apple-converted-space"/>
    <w:basedOn w:val="Domylnaczcionkaakapitu"/>
    <w:rsid w:val="006D054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1A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594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dropcap">
    <w:name w:val="dropcap"/>
    <w:basedOn w:val="Normalny"/>
    <w:rsid w:val="00555941"/>
    <w:pPr>
      <w:spacing w:before="100" w:beforeAutospacing="1" w:after="100" w:afterAutospacing="1"/>
    </w:pPr>
  </w:style>
  <w:style w:type="character" w:customStyle="1" w:styleId="rednialista2akcent4Znak">
    <w:name w:val="Średnia lista 2 — akcent 4 Znak"/>
    <w:uiPriority w:val="34"/>
    <w:locked/>
    <w:rsid w:val="002E3000"/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35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353C4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C353C4"/>
  </w:style>
  <w:style w:type="character" w:styleId="UyteHipercze">
    <w:name w:val="FollowedHyperlink"/>
    <w:basedOn w:val="Domylnaczcionkaakapitu"/>
    <w:uiPriority w:val="99"/>
    <w:semiHidden/>
    <w:unhideWhenUsed/>
    <w:rsid w:val="00C60F61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0F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2F9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958D7"/>
    <w:rPr>
      <w:sz w:val="24"/>
      <w:szCs w:val="24"/>
    </w:rPr>
  </w:style>
  <w:style w:type="character" w:customStyle="1" w:styleId="dane">
    <w:name w:val="dane"/>
    <w:basedOn w:val="Domylnaczcionkaakapitu"/>
    <w:rsid w:val="00825F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C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C7F"/>
  </w:style>
  <w:style w:type="character" w:styleId="Odwoanieprzypisukocowego">
    <w:name w:val="endnote reference"/>
    <w:basedOn w:val="Domylnaczcionkaakapitu"/>
    <w:uiPriority w:val="99"/>
    <w:semiHidden/>
    <w:unhideWhenUsed/>
    <w:rsid w:val="00562C7F"/>
    <w:rPr>
      <w:vertAlign w:val="superscript"/>
    </w:rPr>
  </w:style>
  <w:style w:type="paragraph" w:customStyle="1" w:styleId="s2">
    <w:name w:val="s2"/>
    <w:basedOn w:val="Normalny"/>
    <w:rsid w:val="00C35702"/>
    <w:pPr>
      <w:spacing w:before="100" w:beforeAutospacing="1" w:after="100" w:afterAutospacing="1"/>
    </w:pPr>
  </w:style>
  <w:style w:type="character" w:customStyle="1" w:styleId="nc684nl6">
    <w:name w:val="nc684nl6"/>
    <w:basedOn w:val="Domylnaczcionkaakapitu"/>
    <w:rsid w:val="0097250B"/>
  </w:style>
  <w:style w:type="paragraph" w:customStyle="1" w:styleId="Poakapiciezlist">
    <w:name w:val="Po akapicie z listą"/>
    <w:basedOn w:val="Normalny"/>
    <w:qFormat/>
    <w:rsid w:val="00AB592D"/>
    <w:pPr>
      <w:spacing w:before="80"/>
      <w:ind w:left="357"/>
      <w:jc w:val="both"/>
    </w:pPr>
    <w:rPr>
      <w:rFonts w:asciiTheme="minorHAnsi" w:eastAsiaTheme="minorHAnsi" w:hAnsiTheme="minorHAnsi" w:cstheme="minorBidi"/>
      <w:color w:val="000000" w:themeColor="text1"/>
      <w:sz w:val="20"/>
      <w:lang w:eastAsia="en-US"/>
    </w:rPr>
  </w:style>
  <w:style w:type="paragraph" w:customStyle="1" w:styleId="Akapitzwyky">
    <w:name w:val="Akapit zwykły"/>
    <w:basedOn w:val="Normalny"/>
    <w:qFormat/>
    <w:rsid w:val="00471381"/>
    <w:pPr>
      <w:spacing w:before="120" w:line="264" w:lineRule="auto"/>
      <w:jc w:val="both"/>
    </w:pPr>
    <w:rPr>
      <w:rFonts w:asciiTheme="minorHAnsi" w:hAnsiTheme="minorHAnsi"/>
      <w:noProof/>
    </w:rPr>
  </w:style>
  <w:style w:type="paragraph" w:customStyle="1" w:styleId="Wtabelitekst">
    <w:name w:val="W tabeli tekst"/>
    <w:basedOn w:val="Normalny"/>
    <w:qFormat/>
    <w:rsid w:val="00063307"/>
    <w:rPr>
      <w:rFonts w:asciiTheme="minorHAnsi" w:hAnsiTheme="minorHAnsi" w:cstheme="minorHAnsi"/>
      <w:sz w:val="18"/>
    </w:rPr>
  </w:style>
  <w:style w:type="paragraph" w:customStyle="1" w:styleId="Wtabelinagwekkolumny">
    <w:name w:val="W tabeli nagłówek kolumny"/>
    <w:basedOn w:val="Normalny"/>
    <w:qFormat/>
    <w:rsid w:val="00063307"/>
    <w:pPr>
      <w:keepNext/>
      <w:jc w:val="center"/>
    </w:pPr>
    <w:rPr>
      <w:rFonts w:asciiTheme="minorHAnsi" w:hAnsiTheme="minorHAnsi" w:cstheme="minorHAnsi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5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8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8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087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59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310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51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59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116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27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7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1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1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1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8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598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4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9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3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682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7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bartoszak@lug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g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1111</Words>
  <Characters>5693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lug</Company>
  <LinksUpToDate>false</LinksUpToDate>
  <CharactersWithSpaces>6791</CharactersWithSpaces>
  <SharedDoc>false</SharedDoc>
  <HLinks>
    <vt:vector size="18" baseType="variant"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http://www.lug.com.pl</vt:lpwstr>
      </vt:variant>
      <vt:variant>
        <vt:lpwstr/>
      </vt:variant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mailto:monika.bartoszak@lug.com.pl</vt:lpwstr>
      </vt:variant>
      <vt:variant>
        <vt:lpwstr/>
      </vt:variant>
      <vt:variant>
        <vt:i4>7208967</vt:i4>
      </vt:variant>
      <vt:variant>
        <vt:i4>18070</vt:i4>
      </vt:variant>
      <vt:variant>
        <vt:i4>1025</vt:i4>
      </vt:variant>
      <vt:variant>
        <vt:i4>1</vt:i4>
      </vt:variant>
      <vt:variant>
        <vt:lpwstr>LUG papier firmowy_SA_top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Angelika Biały</cp:lastModifiedBy>
  <cp:revision>4</cp:revision>
  <cp:lastPrinted>2022-02-11T07:38:00Z</cp:lastPrinted>
  <dcterms:created xsi:type="dcterms:W3CDTF">2022-08-11T10:06:00Z</dcterms:created>
  <dcterms:modified xsi:type="dcterms:W3CDTF">2022-11-15T09:48:00Z</dcterms:modified>
</cp:coreProperties>
</file>