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467A" w14:textId="35411BEB" w:rsidR="00A0186C" w:rsidRPr="00BF33C0" w:rsidRDefault="00FF447F" w:rsidP="00BF33C0">
      <w:pPr>
        <w:spacing w:line="276" w:lineRule="auto"/>
        <w:jc w:val="right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F33C0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  <w:r w:rsidR="00A0186C" w:rsidRPr="00BF33C0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Informacja prasowa</w:t>
      </w:r>
    </w:p>
    <w:p w14:paraId="1DD8CA7C" w14:textId="3A4087AB" w:rsidR="002E3000" w:rsidRPr="00BF33C0" w:rsidRDefault="002E3000" w:rsidP="00BF33C0">
      <w:pPr>
        <w:spacing w:line="276" w:lineRule="auto"/>
        <w:jc w:val="right"/>
        <w:rPr>
          <w:rFonts w:asciiTheme="minorHAnsi" w:hAnsiTheme="minorHAnsi" w:cstheme="minorHAnsi"/>
          <w:color w:val="0D0D0D" w:themeColor="text1" w:themeTint="F2"/>
          <w:sz w:val="22"/>
          <w:szCs w:val="22"/>
        </w:rPr>
      </w:pPr>
      <w:r w:rsidRPr="00BF33C0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Zielona Góra, </w:t>
      </w:r>
      <w:r w:rsidR="00F93B97">
        <w:rPr>
          <w:rFonts w:asciiTheme="minorHAnsi" w:hAnsiTheme="minorHAnsi" w:cstheme="minorHAnsi"/>
          <w:color w:val="0D0D0D" w:themeColor="text1" w:themeTint="F2"/>
          <w:sz w:val="22"/>
          <w:szCs w:val="22"/>
        </w:rPr>
        <w:t>7</w:t>
      </w:r>
      <w:r w:rsidRPr="00BF33C0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 maja 2021r.</w:t>
      </w:r>
    </w:p>
    <w:p w14:paraId="65CC26D8" w14:textId="77777777" w:rsidR="002E3000" w:rsidRPr="00BF33C0" w:rsidRDefault="002E3000" w:rsidP="00BF33C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05636B" w14:textId="30C3AA75" w:rsidR="002E3000" w:rsidRDefault="002E3000" w:rsidP="00BF33C0">
      <w:pPr>
        <w:spacing w:line="276" w:lineRule="auto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BF33C0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Szacunkowe wyniki finansowe Grupy Kapitałowej LUG S.A. za I kwartale 2021r.</w:t>
      </w:r>
    </w:p>
    <w:p w14:paraId="5D6F23BE" w14:textId="77777777" w:rsidR="00BF33C0" w:rsidRPr="00BF33C0" w:rsidRDefault="00BF33C0" w:rsidP="00BF33C0">
      <w:pPr>
        <w:spacing w:line="276" w:lineRule="auto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14:paraId="6F009182" w14:textId="438E15D2" w:rsidR="00456963" w:rsidRPr="00BF33C0" w:rsidRDefault="00F93B97" w:rsidP="00BF33C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Wyniki LUG w </w:t>
      </w:r>
      <w:r w:rsidR="00456963" w:rsidRPr="00BF33C0">
        <w:rPr>
          <w:rFonts w:asciiTheme="minorHAnsi" w:hAnsiTheme="minorHAnsi" w:cstheme="minorHAnsi"/>
          <w:b/>
          <w:sz w:val="22"/>
          <w:szCs w:val="22"/>
        </w:rPr>
        <w:t>I kwarta</w:t>
      </w:r>
      <w:r>
        <w:rPr>
          <w:rFonts w:asciiTheme="minorHAnsi" w:hAnsiTheme="minorHAnsi" w:cstheme="minorHAnsi"/>
          <w:b/>
          <w:sz w:val="22"/>
          <w:szCs w:val="22"/>
        </w:rPr>
        <w:t>le 2021 roku pod wpływem szoków popytowych i podażowych na komponenty</w:t>
      </w:r>
    </w:p>
    <w:p w14:paraId="72300762" w14:textId="77777777" w:rsidR="002E3000" w:rsidRPr="00BF33C0" w:rsidRDefault="002E3000" w:rsidP="00BF33C0">
      <w:pPr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14:paraId="1198ADE9" w14:textId="5AFFF0D4" w:rsidR="002E3000" w:rsidRPr="00BF33C0" w:rsidRDefault="002E3000" w:rsidP="00BF33C0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BF33C0">
        <w:rPr>
          <w:rFonts w:asciiTheme="minorHAnsi" w:hAnsiTheme="minorHAnsi"/>
          <w:b/>
          <w:bCs/>
          <w:sz w:val="22"/>
          <w:szCs w:val="22"/>
        </w:rPr>
        <w:t xml:space="preserve">37,53 mln zł przychody ze sprzedaży </w:t>
      </w:r>
    </w:p>
    <w:p w14:paraId="279BBB3F" w14:textId="683766E4" w:rsidR="002E3000" w:rsidRPr="00BF33C0" w:rsidRDefault="002E3000" w:rsidP="00BF33C0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BF33C0">
        <w:rPr>
          <w:rFonts w:asciiTheme="minorHAnsi" w:hAnsiTheme="minorHAnsi"/>
          <w:b/>
          <w:bCs/>
          <w:sz w:val="22"/>
          <w:szCs w:val="22"/>
        </w:rPr>
        <w:t>10,5</w:t>
      </w:r>
      <w:r w:rsidR="0003580C" w:rsidRPr="00BF33C0">
        <w:rPr>
          <w:rFonts w:asciiTheme="minorHAnsi" w:hAnsiTheme="minorHAnsi"/>
          <w:b/>
          <w:bCs/>
          <w:sz w:val="22"/>
          <w:szCs w:val="22"/>
        </w:rPr>
        <w:t>1</w:t>
      </w:r>
      <w:r w:rsidRPr="00BF33C0">
        <w:rPr>
          <w:rFonts w:asciiTheme="minorHAnsi" w:hAnsiTheme="minorHAnsi"/>
          <w:b/>
          <w:bCs/>
          <w:sz w:val="22"/>
          <w:szCs w:val="22"/>
        </w:rPr>
        <w:t xml:space="preserve"> mln zł zysku brutto ze sprzedaży </w:t>
      </w:r>
    </w:p>
    <w:p w14:paraId="21582F71" w14:textId="37C2987C" w:rsidR="002E3000" w:rsidRPr="00BF33C0" w:rsidRDefault="00FE66DA" w:rsidP="00BF33C0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BF33C0">
        <w:rPr>
          <w:rFonts w:asciiTheme="minorHAnsi" w:hAnsiTheme="minorHAnsi"/>
          <w:b/>
          <w:bCs/>
          <w:sz w:val="22"/>
          <w:szCs w:val="22"/>
        </w:rPr>
        <w:t>0,78 mln zł</w:t>
      </w:r>
      <w:r w:rsidR="0003580C" w:rsidRPr="00BF33C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F93B97">
        <w:rPr>
          <w:rFonts w:asciiTheme="minorHAnsi" w:hAnsiTheme="minorHAnsi"/>
          <w:b/>
          <w:bCs/>
          <w:sz w:val="22"/>
          <w:szCs w:val="22"/>
        </w:rPr>
        <w:t xml:space="preserve">zysku </w:t>
      </w:r>
      <w:r w:rsidR="002E3000" w:rsidRPr="00BF33C0">
        <w:rPr>
          <w:rFonts w:asciiTheme="minorHAnsi" w:hAnsiTheme="minorHAnsi"/>
          <w:b/>
          <w:bCs/>
          <w:sz w:val="22"/>
          <w:szCs w:val="22"/>
        </w:rPr>
        <w:t xml:space="preserve">netto </w:t>
      </w:r>
      <w:r w:rsidRPr="00BF33C0">
        <w:rPr>
          <w:rFonts w:asciiTheme="minorHAnsi" w:hAnsiTheme="minorHAnsi"/>
          <w:b/>
          <w:bCs/>
          <w:sz w:val="22"/>
          <w:szCs w:val="22"/>
        </w:rPr>
        <w:t xml:space="preserve">i </w:t>
      </w:r>
      <w:r w:rsidR="0003580C" w:rsidRPr="00BF33C0">
        <w:rPr>
          <w:rFonts w:asciiTheme="minorHAnsi" w:hAnsiTheme="minorHAnsi"/>
          <w:b/>
          <w:bCs/>
          <w:sz w:val="22"/>
          <w:szCs w:val="22"/>
        </w:rPr>
        <w:t>3,15</w:t>
      </w:r>
      <w:r w:rsidR="002E3000" w:rsidRPr="00BF33C0">
        <w:rPr>
          <w:rFonts w:asciiTheme="minorHAnsi" w:hAnsiTheme="minorHAnsi"/>
          <w:b/>
          <w:bCs/>
          <w:sz w:val="22"/>
          <w:szCs w:val="22"/>
        </w:rPr>
        <w:t xml:space="preserve"> mln zł </w:t>
      </w:r>
      <w:r w:rsidR="0003580C" w:rsidRPr="00BF33C0">
        <w:rPr>
          <w:rFonts w:asciiTheme="minorHAnsi" w:hAnsiTheme="minorHAnsi"/>
          <w:b/>
          <w:bCs/>
          <w:sz w:val="22"/>
          <w:szCs w:val="22"/>
        </w:rPr>
        <w:t xml:space="preserve">wyniku </w:t>
      </w:r>
      <w:r w:rsidR="002E3000" w:rsidRPr="00BF33C0">
        <w:rPr>
          <w:rFonts w:asciiTheme="minorHAnsi" w:hAnsiTheme="minorHAnsi"/>
          <w:b/>
          <w:bCs/>
          <w:sz w:val="22"/>
          <w:szCs w:val="22"/>
        </w:rPr>
        <w:t>EBITDA</w:t>
      </w:r>
    </w:p>
    <w:p w14:paraId="70CDEF68" w14:textId="3F6091D5" w:rsidR="00F412AF" w:rsidRPr="00BF33C0" w:rsidRDefault="00F412AF" w:rsidP="00BF33C0">
      <w:pPr>
        <w:pStyle w:val="Akapitzlist"/>
        <w:numPr>
          <w:ilvl w:val="0"/>
          <w:numId w:val="21"/>
        </w:numPr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BF33C0">
        <w:rPr>
          <w:rFonts w:asciiTheme="minorHAnsi" w:hAnsiTheme="minorHAnsi"/>
          <w:b/>
          <w:bCs/>
          <w:sz w:val="22"/>
          <w:szCs w:val="22"/>
        </w:rPr>
        <w:t>Wzrost cen po szoku popytowym w wyniku odmrażania gospodarek</w:t>
      </w:r>
    </w:p>
    <w:p w14:paraId="7A75B475" w14:textId="37BDEB3B" w:rsidR="00765FB2" w:rsidRPr="00BF33C0" w:rsidRDefault="00765FB2" w:rsidP="00BF33C0">
      <w:pPr>
        <w:pStyle w:val="Akapitzlist"/>
        <w:spacing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</w:p>
    <w:p w14:paraId="34F1889F" w14:textId="29C8F65E" w:rsidR="0003580C" w:rsidRPr="00BF33C0" w:rsidRDefault="002E3000" w:rsidP="00BF33C0">
      <w:pPr>
        <w:spacing w:after="160" w:line="276" w:lineRule="auto"/>
        <w:jc w:val="both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BF33C0">
        <w:rPr>
          <w:rFonts w:asciiTheme="minorHAnsi" w:eastAsia="Calibri" w:hAnsiTheme="minorHAnsi" w:cs="Arial"/>
          <w:b/>
          <w:sz w:val="22"/>
          <w:szCs w:val="22"/>
          <w:lang w:eastAsia="en-US"/>
        </w:rPr>
        <w:t>LUG S.A., czołowy producent rozwiązań z zakresu profesjonalnej techniki świetlnej, opublikował szacunkowe wyniki za I kwartał 2021 roku. W pierwszy</w:t>
      </w:r>
      <w:r w:rsidR="00645692">
        <w:rPr>
          <w:rFonts w:asciiTheme="minorHAnsi" w:eastAsia="Calibri" w:hAnsiTheme="minorHAnsi" w:cs="Arial"/>
          <w:b/>
          <w:sz w:val="22"/>
          <w:szCs w:val="22"/>
          <w:lang w:eastAsia="en-US"/>
        </w:rPr>
        <w:t>m</w:t>
      </w:r>
      <w:r w:rsidRPr="00BF33C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okresie rozliczeniowym roku</w:t>
      </w:r>
      <w:r w:rsidR="00A119BA">
        <w:rPr>
          <w:rFonts w:asciiTheme="minorHAnsi" w:eastAsia="Calibri" w:hAnsiTheme="minorHAnsi" w:cs="Arial"/>
          <w:b/>
          <w:sz w:val="22"/>
          <w:szCs w:val="22"/>
          <w:lang w:eastAsia="en-US"/>
        </w:rPr>
        <w:t>,</w:t>
      </w:r>
      <w:r w:rsidRPr="00BF33C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przychody ze</w:t>
      </w:r>
      <w:r w:rsidR="00645692">
        <w:rPr>
          <w:rFonts w:asciiTheme="minorHAnsi" w:eastAsia="Calibri" w:hAnsiTheme="minorHAnsi" w:cs="Arial"/>
          <w:b/>
          <w:sz w:val="22"/>
          <w:szCs w:val="22"/>
          <w:lang w:eastAsia="en-US"/>
        </w:rPr>
        <w:t> </w:t>
      </w:r>
      <w:r w:rsidRPr="00BF33C0">
        <w:rPr>
          <w:rFonts w:asciiTheme="minorHAnsi" w:eastAsia="Calibri" w:hAnsiTheme="minorHAnsi" w:cs="Arial"/>
          <w:b/>
          <w:sz w:val="22"/>
          <w:szCs w:val="22"/>
          <w:lang w:eastAsia="en-US"/>
        </w:rPr>
        <w:t>sprzedaży wyniosły 37,53 mln zł i były niższe o 17,</w:t>
      </w:r>
      <w:r w:rsidR="00456963" w:rsidRPr="00BF33C0">
        <w:rPr>
          <w:rFonts w:asciiTheme="minorHAnsi" w:eastAsia="Calibri" w:hAnsiTheme="minorHAnsi" w:cs="Arial"/>
          <w:b/>
          <w:sz w:val="22"/>
          <w:szCs w:val="22"/>
          <w:lang w:eastAsia="en-US"/>
        </w:rPr>
        <w:t>3 procent</w:t>
      </w:r>
      <w:r w:rsidRPr="00BF33C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względem analogicznego </w:t>
      </w:r>
      <w:r w:rsidR="00456963" w:rsidRPr="00BF33C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okresu </w:t>
      </w:r>
      <w:r w:rsidR="0003580C" w:rsidRPr="00BF33C0">
        <w:rPr>
          <w:rFonts w:asciiTheme="minorHAnsi" w:eastAsia="Calibri" w:hAnsiTheme="minorHAnsi" w:cs="Arial"/>
          <w:b/>
          <w:sz w:val="22"/>
          <w:szCs w:val="22"/>
          <w:lang w:eastAsia="en-US"/>
        </w:rPr>
        <w:t>ubiegłego r</w:t>
      </w:r>
      <w:r w:rsidRPr="00BF33C0">
        <w:rPr>
          <w:rFonts w:asciiTheme="minorHAnsi" w:eastAsia="Calibri" w:hAnsiTheme="minorHAnsi" w:cs="Arial"/>
          <w:b/>
          <w:sz w:val="22"/>
          <w:szCs w:val="22"/>
          <w:lang w:eastAsia="en-US"/>
        </w:rPr>
        <w:t>ok</w:t>
      </w:r>
      <w:r w:rsidR="0003580C" w:rsidRPr="00BF33C0">
        <w:rPr>
          <w:rFonts w:asciiTheme="minorHAnsi" w:eastAsia="Calibri" w:hAnsiTheme="minorHAnsi" w:cs="Arial"/>
          <w:b/>
          <w:sz w:val="22"/>
          <w:szCs w:val="22"/>
          <w:lang w:eastAsia="en-US"/>
        </w:rPr>
        <w:t>u</w:t>
      </w:r>
      <w:r w:rsidR="00456963" w:rsidRPr="00BF33C0">
        <w:rPr>
          <w:rFonts w:asciiTheme="minorHAnsi" w:eastAsia="Calibri" w:hAnsiTheme="minorHAnsi" w:cs="Arial"/>
          <w:b/>
          <w:sz w:val="22"/>
          <w:szCs w:val="22"/>
          <w:lang w:eastAsia="en-US"/>
        </w:rPr>
        <w:t>, który był rekordowy pod względem wypracowanych przychodów. Zysk brutto na</w:t>
      </w:r>
      <w:r w:rsidR="00645692">
        <w:rPr>
          <w:rFonts w:asciiTheme="minorHAnsi" w:eastAsia="Calibri" w:hAnsiTheme="minorHAnsi" w:cs="Arial"/>
          <w:b/>
          <w:sz w:val="22"/>
          <w:szCs w:val="22"/>
          <w:lang w:eastAsia="en-US"/>
        </w:rPr>
        <w:t> </w:t>
      </w:r>
      <w:r w:rsidR="00456963" w:rsidRPr="00BF33C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sprzedaży wyniósł 10,51 mln zł </w:t>
      </w:r>
      <w:r w:rsidR="00F93B97" w:rsidRPr="00F93B97">
        <w:rPr>
          <w:rFonts w:asciiTheme="minorHAnsi" w:eastAsia="Calibri" w:hAnsiTheme="minorHAnsi" w:cs="Arial"/>
          <w:b/>
          <w:sz w:val="22"/>
          <w:szCs w:val="22"/>
          <w:lang w:eastAsia="en-US"/>
        </w:rPr>
        <w:t>względem 18,28 mln zł (-42,5% r/r) w analogicznym okresie 2020 r.</w:t>
      </w:r>
      <w:r w:rsidR="00F93B97" w:rsidRPr="00E17752">
        <w:rPr>
          <w:rFonts w:ascii="Calibri" w:hAnsi="Calibri" w:cs="Calibri"/>
        </w:rPr>
        <w:t xml:space="preserve"> </w:t>
      </w:r>
      <w:r w:rsidR="00456963" w:rsidRPr="00BF33C0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Na pogorszenie wyników finansowych wpływ miały m.in. </w:t>
      </w:r>
      <w:r w:rsidR="00FA0894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niezależne od Emitenta </w:t>
      </w:r>
      <w:r w:rsidR="00FA0894">
        <w:rPr>
          <w:rFonts w:asciiTheme="minorHAnsi" w:hAnsiTheme="minorHAnsi" w:cs="Calibri"/>
          <w:b/>
          <w:sz w:val="22"/>
          <w:szCs w:val="22"/>
        </w:rPr>
        <w:t xml:space="preserve">długookresowe opóźnienia w dostawach komponentów </w:t>
      </w:r>
      <w:r w:rsidR="0003580C" w:rsidRPr="00BF33C0">
        <w:rPr>
          <w:rFonts w:asciiTheme="minorHAnsi" w:hAnsiTheme="minorHAnsi" w:cs="Calibri"/>
          <w:b/>
          <w:sz w:val="22"/>
          <w:szCs w:val="22"/>
        </w:rPr>
        <w:t>i wzrost cen</w:t>
      </w:r>
      <w:r w:rsidR="00FA0894">
        <w:rPr>
          <w:rFonts w:asciiTheme="minorHAnsi" w:hAnsiTheme="minorHAnsi" w:cs="Calibri"/>
          <w:b/>
          <w:sz w:val="22"/>
          <w:szCs w:val="22"/>
        </w:rPr>
        <w:t xml:space="preserve"> tychże</w:t>
      </w:r>
      <w:r w:rsidR="0003580C" w:rsidRPr="00BF33C0">
        <w:rPr>
          <w:rFonts w:asciiTheme="minorHAnsi" w:hAnsiTheme="minorHAnsi" w:cs="Calibri"/>
          <w:b/>
          <w:sz w:val="22"/>
          <w:szCs w:val="22"/>
        </w:rPr>
        <w:t xml:space="preserve"> komponentów, który dotyczył m.in.</w:t>
      </w:r>
      <w:r w:rsidR="00645692">
        <w:rPr>
          <w:rFonts w:asciiTheme="minorHAnsi" w:hAnsiTheme="minorHAnsi" w:cs="Calibri"/>
          <w:b/>
          <w:sz w:val="22"/>
          <w:szCs w:val="22"/>
        </w:rPr>
        <w:t> </w:t>
      </w:r>
      <w:r w:rsidR="0003580C" w:rsidRPr="00BF33C0">
        <w:rPr>
          <w:rFonts w:asciiTheme="minorHAnsi" w:hAnsiTheme="minorHAnsi" w:cs="Calibri"/>
          <w:b/>
          <w:sz w:val="22"/>
          <w:szCs w:val="22"/>
        </w:rPr>
        <w:t>aluminium, przewodów miedzianych, blachy stalowej oraz komponentów elektronicznych</w:t>
      </w:r>
      <w:r w:rsidR="00F93B97">
        <w:rPr>
          <w:rFonts w:asciiTheme="minorHAnsi" w:hAnsiTheme="minorHAnsi" w:cs="Calibri"/>
          <w:b/>
          <w:sz w:val="22"/>
          <w:szCs w:val="22"/>
        </w:rPr>
        <w:t xml:space="preserve"> oraz</w:t>
      </w:r>
      <w:r w:rsidR="00645692">
        <w:rPr>
          <w:rFonts w:asciiTheme="minorHAnsi" w:hAnsiTheme="minorHAnsi" w:cs="Calibri"/>
          <w:b/>
          <w:sz w:val="22"/>
          <w:szCs w:val="22"/>
        </w:rPr>
        <w:t> </w:t>
      </w:r>
      <w:r w:rsidR="00F93B97">
        <w:rPr>
          <w:rFonts w:asciiTheme="minorHAnsi" w:hAnsiTheme="minorHAnsi" w:cs="Calibri"/>
          <w:b/>
          <w:sz w:val="22"/>
          <w:szCs w:val="22"/>
        </w:rPr>
        <w:t>wzrosty cen transportu</w:t>
      </w:r>
      <w:r w:rsidR="0003580C" w:rsidRPr="00BF33C0">
        <w:rPr>
          <w:rFonts w:asciiTheme="minorHAnsi" w:hAnsiTheme="minorHAnsi" w:cs="Calibri"/>
          <w:b/>
          <w:sz w:val="22"/>
          <w:szCs w:val="22"/>
        </w:rPr>
        <w:t>.</w:t>
      </w:r>
      <w:r w:rsidR="0003580C" w:rsidRPr="00BF33C0">
        <w:rPr>
          <w:rFonts w:asciiTheme="minorHAnsi" w:hAnsiTheme="minorHAnsi" w:cs="Calibri"/>
          <w:sz w:val="22"/>
          <w:szCs w:val="22"/>
        </w:rPr>
        <w:t xml:space="preserve"> </w:t>
      </w:r>
    </w:p>
    <w:p w14:paraId="49ECE88A" w14:textId="1836E04A" w:rsidR="00D55138" w:rsidRPr="00D55138" w:rsidRDefault="00F93B97" w:rsidP="00D55138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F93B97">
        <w:rPr>
          <w:rFonts w:asciiTheme="minorHAnsi" w:hAnsiTheme="minorHAnsi" w:cs="Calibri"/>
          <w:sz w:val="22"/>
          <w:szCs w:val="22"/>
        </w:rPr>
        <w:t xml:space="preserve">Skonsolidowany zysk netto Grupy Kapitałowej LUG S.A. w I kwartale wyniósł 769,6 tys. zł względem </w:t>
      </w:r>
      <w:r w:rsidR="00D55138">
        <w:rPr>
          <w:rFonts w:asciiTheme="minorHAnsi" w:hAnsiTheme="minorHAnsi" w:cs="Calibri"/>
          <w:sz w:val="22"/>
          <w:szCs w:val="22"/>
        </w:rPr>
        <w:br/>
      </w:r>
      <w:r w:rsidRPr="00F93B97">
        <w:rPr>
          <w:rFonts w:asciiTheme="minorHAnsi" w:hAnsiTheme="minorHAnsi" w:cs="Calibri"/>
          <w:sz w:val="22"/>
          <w:szCs w:val="22"/>
        </w:rPr>
        <w:t xml:space="preserve">1 911,73 tys. zł w ub.r., natomiast marża netto uległa obniżeniu o 2,2 pp. w stosunku do wyniku </w:t>
      </w:r>
      <w:r w:rsidR="00D55138">
        <w:rPr>
          <w:rFonts w:asciiTheme="minorHAnsi" w:hAnsiTheme="minorHAnsi" w:cs="Calibri"/>
          <w:sz w:val="22"/>
          <w:szCs w:val="22"/>
        </w:rPr>
        <w:br/>
      </w:r>
      <w:r w:rsidRPr="00F93B97">
        <w:rPr>
          <w:rFonts w:asciiTheme="minorHAnsi" w:hAnsiTheme="minorHAnsi" w:cs="Calibri"/>
          <w:sz w:val="22"/>
          <w:szCs w:val="22"/>
        </w:rPr>
        <w:t>z I kw. 2020 roku i osiągnęła poziom 2,1%.</w:t>
      </w:r>
      <w:r w:rsidR="00D55138">
        <w:rPr>
          <w:rFonts w:asciiTheme="minorHAnsi" w:hAnsiTheme="minorHAnsi" w:cs="Calibri"/>
          <w:sz w:val="22"/>
          <w:szCs w:val="22"/>
        </w:rPr>
        <w:t xml:space="preserve"> </w:t>
      </w:r>
      <w:r w:rsidR="00D55138" w:rsidRPr="00D55138">
        <w:rPr>
          <w:rFonts w:asciiTheme="minorHAnsi" w:hAnsiTheme="minorHAnsi" w:cs="Calibri"/>
          <w:sz w:val="22"/>
          <w:szCs w:val="22"/>
        </w:rPr>
        <w:t>Emitent wypracował zysk operacyjny na poziomie 570,7 tys. zł względem 1 104,8 tys. zł przed rokiem</w:t>
      </w:r>
      <w:r w:rsidR="00A119BA">
        <w:rPr>
          <w:rFonts w:asciiTheme="minorHAnsi" w:hAnsiTheme="minorHAnsi" w:cs="Calibri"/>
          <w:sz w:val="22"/>
          <w:szCs w:val="22"/>
        </w:rPr>
        <w:t xml:space="preserve">. </w:t>
      </w:r>
      <w:r w:rsidR="0003580C" w:rsidRPr="00BF33C0">
        <w:rPr>
          <w:rFonts w:asciiTheme="minorHAnsi" w:hAnsiTheme="minorHAnsi" w:cs="Calibri"/>
          <w:sz w:val="22"/>
          <w:szCs w:val="22"/>
        </w:rPr>
        <w:t xml:space="preserve">Struktura zysku operacyjnego znalazła odzwierciedlenie </w:t>
      </w:r>
      <w:r w:rsidR="00D55138">
        <w:rPr>
          <w:rFonts w:asciiTheme="minorHAnsi" w:hAnsiTheme="minorHAnsi" w:cs="Calibri"/>
          <w:sz w:val="22"/>
          <w:szCs w:val="22"/>
        </w:rPr>
        <w:br/>
      </w:r>
      <w:r w:rsidR="0003580C" w:rsidRPr="00BF33C0">
        <w:rPr>
          <w:rFonts w:asciiTheme="minorHAnsi" w:hAnsiTheme="minorHAnsi" w:cs="Calibri"/>
          <w:sz w:val="22"/>
          <w:szCs w:val="22"/>
        </w:rPr>
        <w:t xml:space="preserve">w poziomie marży operacyjnej, która </w:t>
      </w:r>
      <w:r w:rsidR="00A119BA">
        <w:rPr>
          <w:rFonts w:asciiTheme="minorHAnsi" w:hAnsiTheme="minorHAnsi" w:cs="Calibri"/>
          <w:sz w:val="22"/>
          <w:szCs w:val="22"/>
        </w:rPr>
        <w:t xml:space="preserve">w omawianym okresie </w:t>
      </w:r>
      <w:r w:rsidR="0003580C" w:rsidRPr="00BF33C0">
        <w:rPr>
          <w:rFonts w:asciiTheme="minorHAnsi" w:hAnsiTheme="minorHAnsi" w:cs="Calibri"/>
          <w:sz w:val="22"/>
          <w:szCs w:val="22"/>
        </w:rPr>
        <w:t>wyniosła 1,5</w:t>
      </w:r>
      <w:r w:rsidR="00FB4E85" w:rsidRPr="00BF33C0">
        <w:rPr>
          <w:rFonts w:asciiTheme="minorHAnsi" w:hAnsiTheme="minorHAnsi" w:cs="Calibri"/>
          <w:sz w:val="22"/>
          <w:szCs w:val="22"/>
        </w:rPr>
        <w:t xml:space="preserve"> procent</w:t>
      </w:r>
      <w:r w:rsidR="0003580C" w:rsidRPr="00BF33C0">
        <w:rPr>
          <w:rFonts w:asciiTheme="minorHAnsi" w:hAnsiTheme="minorHAnsi" w:cs="Calibri"/>
          <w:sz w:val="22"/>
          <w:szCs w:val="22"/>
        </w:rPr>
        <w:t xml:space="preserve"> i była o 0,9 pp. niższa niż </w:t>
      </w:r>
      <w:r w:rsidR="00A119BA">
        <w:rPr>
          <w:rFonts w:asciiTheme="minorHAnsi" w:hAnsiTheme="minorHAnsi" w:cs="Calibri"/>
          <w:sz w:val="22"/>
          <w:szCs w:val="22"/>
        </w:rPr>
        <w:t xml:space="preserve">w </w:t>
      </w:r>
      <w:r w:rsidR="00D55138">
        <w:rPr>
          <w:rFonts w:asciiTheme="minorHAnsi" w:hAnsiTheme="minorHAnsi" w:cs="Calibri"/>
          <w:sz w:val="22"/>
          <w:szCs w:val="22"/>
        </w:rPr>
        <w:t>I kwartale 2020 roku</w:t>
      </w:r>
      <w:r w:rsidR="0003580C" w:rsidRPr="00BF33C0">
        <w:rPr>
          <w:rFonts w:asciiTheme="minorHAnsi" w:hAnsiTheme="minorHAnsi" w:cs="Calibri"/>
          <w:sz w:val="22"/>
          <w:szCs w:val="22"/>
        </w:rPr>
        <w:t xml:space="preserve">. </w:t>
      </w:r>
      <w:r w:rsidR="00F412AF" w:rsidRPr="00BF33C0">
        <w:rPr>
          <w:rFonts w:asciiTheme="minorHAnsi" w:hAnsiTheme="minorHAnsi" w:cs="Calibri"/>
          <w:sz w:val="22"/>
          <w:szCs w:val="22"/>
        </w:rPr>
        <w:t>W</w:t>
      </w:r>
      <w:r w:rsidR="0003580C" w:rsidRPr="00BF33C0">
        <w:rPr>
          <w:rFonts w:asciiTheme="minorHAnsi" w:hAnsiTheme="minorHAnsi" w:cs="Calibri"/>
          <w:sz w:val="22"/>
          <w:szCs w:val="22"/>
        </w:rPr>
        <w:t xml:space="preserve">ynik EBITDA wyniósł 3,15 mln zł, </w:t>
      </w:r>
      <w:r w:rsidR="00D55138" w:rsidRPr="00D55138">
        <w:rPr>
          <w:rFonts w:asciiTheme="minorHAnsi" w:hAnsiTheme="minorHAnsi" w:cs="Calibri"/>
          <w:sz w:val="22"/>
          <w:szCs w:val="22"/>
        </w:rPr>
        <w:t>co jest poziomem o 7,6% niższym niż przed rokiem. Marża EBITDA wyniosła w I kw. br. 8,4% i była o 0,9 pp. wyższa rok do roku w efekcie rozliczenia amortyzacji na poziomie 2,57 mln zł względem 2,3 mln zł przed rokiem.</w:t>
      </w:r>
    </w:p>
    <w:p w14:paraId="558E6B13" w14:textId="20A1D884" w:rsidR="00F412AF" w:rsidRPr="00D55138" w:rsidRDefault="00F412AF" w:rsidP="00BF33C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11993EB7" w14:textId="480951E4" w:rsidR="00C53C00" w:rsidRPr="00D55138" w:rsidRDefault="00F412AF" w:rsidP="00C53C0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119BA">
        <w:rPr>
          <w:rFonts w:asciiTheme="minorHAnsi" w:hAnsiTheme="minorHAnsi" w:cs="Calibri"/>
          <w:sz w:val="22"/>
          <w:szCs w:val="22"/>
        </w:rPr>
        <w:t xml:space="preserve">Na </w:t>
      </w:r>
      <w:r w:rsidR="00D55138">
        <w:rPr>
          <w:rFonts w:asciiTheme="minorHAnsi" w:hAnsiTheme="minorHAnsi" w:cs="Calibri"/>
          <w:sz w:val="22"/>
          <w:szCs w:val="22"/>
        </w:rPr>
        <w:t>wyniki finansowe</w:t>
      </w:r>
      <w:r w:rsidRPr="00A119BA">
        <w:rPr>
          <w:rFonts w:asciiTheme="minorHAnsi" w:hAnsiTheme="minorHAnsi" w:cs="Calibri"/>
          <w:sz w:val="22"/>
          <w:szCs w:val="22"/>
        </w:rPr>
        <w:t xml:space="preserve"> Grupy LUG </w:t>
      </w:r>
      <w:r w:rsidR="00D55138">
        <w:rPr>
          <w:rFonts w:asciiTheme="minorHAnsi" w:hAnsiTheme="minorHAnsi" w:cs="Calibri"/>
          <w:sz w:val="22"/>
          <w:szCs w:val="22"/>
        </w:rPr>
        <w:t xml:space="preserve">w pierwszych trzech miesiącach roku </w:t>
      </w:r>
      <w:r w:rsidRPr="00A119BA">
        <w:rPr>
          <w:rFonts w:asciiTheme="minorHAnsi" w:hAnsiTheme="minorHAnsi" w:cs="Calibri"/>
          <w:sz w:val="22"/>
          <w:szCs w:val="22"/>
        </w:rPr>
        <w:t xml:space="preserve">istotny wpływ miały szoki popytowe i podażowe na rynkach komponentów, które </w:t>
      </w:r>
      <w:r w:rsidR="00FA0894">
        <w:rPr>
          <w:rFonts w:ascii="Calibri" w:hAnsi="Calibri" w:cs="Calibri"/>
        </w:rPr>
        <w:t>spowodowały długookresowe opóźnienia w</w:t>
      </w:r>
      <w:r w:rsidR="00645692">
        <w:rPr>
          <w:rFonts w:ascii="Calibri" w:hAnsi="Calibri" w:cs="Calibri"/>
        </w:rPr>
        <w:t> </w:t>
      </w:r>
      <w:r w:rsidR="00FA0894">
        <w:rPr>
          <w:rFonts w:ascii="Calibri" w:hAnsi="Calibri" w:cs="Calibri"/>
        </w:rPr>
        <w:t>dostawach komponentów</w:t>
      </w:r>
      <w:r w:rsidR="00D55138">
        <w:rPr>
          <w:rFonts w:asciiTheme="minorHAnsi" w:hAnsiTheme="minorHAnsi" w:cs="Calibri"/>
          <w:sz w:val="22"/>
          <w:szCs w:val="22"/>
        </w:rPr>
        <w:t xml:space="preserve">, </w:t>
      </w:r>
      <w:r w:rsidR="00D55138" w:rsidRPr="00D55138">
        <w:rPr>
          <w:rFonts w:asciiTheme="minorHAnsi" w:hAnsiTheme="minorHAnsi" w:cs="Calibri"/>
          <w:sz w:val="22"/>
          <w:szCs w:val="22"/>
        </w:rPr>
        <w:t>a tym samym ograniczenie spodziewanych przychodów</w:t>
      </w:r>
      <w:r w:rsidRPr="00A119BA">
        <w:rPr>
          <w:rFonts w:asciiTheme="minorHAnsi" w:hAnsiTheme="minorHAnsi" w:cs="Calibri"/>
          <w:sz w:val="22"/>
          <w:szCs w:val="22"/>
        </w:rPr>
        <w:t xml:space="preserve">. </w:t>
      </w:r>
      <w:r w:rsidR="00C53C00" w:rsidRPr="00D55138">
        <w:rPr>
          <w:rFonts w:asciiTheme="minorHAnsi" w:hAnsiTheme="minorHAnsi" w:cs="Calibri"/>
          <w:sz w:val="22"/>
          <w:szCs w:val="22"/>
        </w:rPr>
        <w:t>Sytuacja ta</w:t>
      </w:r>
      <w:r w:rsidR="00645692">
        <w:rPr>
          <w:rFonts w:asciiTheme="minorHAnsi" w:hAnsiTheme="minorHAnsi" w:cs="Calibri"/>
          <w:sz w:val="22"/>
          <w:szCs w:val="22"/>
        </w:rPr>
        <w:t> </w:t>
      </w:r>
      <w:r w:rsidR="00C53C00" w:rsidRPr="00D55138">
        <w:rPr>
          <w:rFonts w:asciiTheme="minorHAnsi" w:hAnsiTheme="minorHAnsi" w:cs="Calibri"/>
          <w:sz w:val="22"/>
          <w:szCs w:val="22"/>
        </w:rPr>
        <w:t>wpłynęła na opóźnienia realizacji kilku dużych projektów infrastrukturalnych zaplanowanych na</w:t>
      </w:r>
      <w:r w:rsidR="00645692">
        <w:rPr>
          <w:rFonts w:asciiTheme="minorHAnsi" w:hAnsiTheme="minorHAnsi" w:cs="Calibri"/>
          <w:sz w:val="22"/>
          <w:szCs w:val="22"/>
        </w:rPr>
        <w:t> </w:t>
      </w:r>
      <w:r w:rsidR="00C53C00" w:rsidRPr="00D55138">
        <w:rPr>
          <w:rFonts w:asciiTheme="minorHAnsi" w:hAnsiTheme="minorHAnsi" w:cs="Calibri"/>
          <w:sz w:val="22"/>
          <w:szCs w:val="22"/>
        </w:rPr>
        <w:t>pierwsze trzy miesiące roku.</w:t>
      </w:r>
      <w:r w:rsidR="00D55138">
        <w:rPr>
          <w:rFonts w:asciiTheme="minorHAnsi" w:hAnsiTheme="minorHAnsi" w:cs="Calibri"/>
          <w:sz w:val="22"/>
          <w:szCs w:val="22"/>
        </w:rPr>
        <w:t xml:space="preserve"> </w:t>
      </w:r>
      <w:r w:rsidR="00C53C00">
        <w:rPr>
          <w:rFonts w:asciiTheme="minorHAnsi" w:hAnsiTheme="minorHAnsi" w:cs="Calibri"/>
          <w:sz w:val="22"/>
          <w:szCs w:val="22"/>
        </w:rPr>
        <w:t>Ponadto p</w:t>
      </w:r>
      <w:r w:rsidR="00BF33C0" w:rsidRPr="00A119BA">
        <w:rPr>
          <w:rFonts w:asciiTheme="minorHAnsi" w:hAnsiTheme="minorHAnsi" w:cs="Calibri"/>
          <w:sz w:val="22"/>
          <w:szCs w:val="22"/>
        </w:rPr>
        <w:t>andemia wywołała chaos w transporcie</w:t>
      </w:r>
      <w:r w:rsidR="00A119BA">
        <w:rPr>
          <w:rFonts w:asciiTheme="minorHAnsi" w:hAnsiTheme="minorHAnsi" w:cs="Calibri"/>
          <w:sz w:val="22"/>
          <w:szCs w:val="22"/>
        </w:rPr>
        <w:t xml:space="preserve"> morskim i kolejowy</w:t>
      </w:r>
      <w:r w:rsidR="00D55138">
        <w:rPr>
          <w:rFonts w:asciiTheme="minorHAnsi" w:hAnsiTheme="minorHAnsi" w:cs="Calibri"/>
          <w:sz w:val="22"/>
          <w:szCs w:val="22"/>
        </w:rPr>
        <w:t>m</w:t>
      </w:r>
      <w:r w:rsidR="00A119BA">
        <w:rPr>
          <w:rFonts w:asciiTheme="minorHAnsi" w:hAnsiTheme="minorHAnsi" w:cs="Calibri"/>
          <w:sz w:val="22"/>
          <w:szCs w:val="22"/>
        </w:rPr>
        <w:t xml:space="preserve">. Pierwszym z nich </w:t>
      </w:r>
      <w:r w:rsidR="00BF33C0" w:rsidRPr="00A119BA">
        <w:rPr>
          <w:rFonts w:asciiTheme="minorHAnsi" w:hAnsiTheme="minorHAnsi" w:cs="Calibri"/>
          <w:sz w:val="22"/>
          <w:szCs w:val="22"/>
        </w:rPr>
        <w:t>przewożone jest</w:t>
      </w:r>
      <w:r w:rsidR="00A119BA">
        <w:rPr>
          <w:rFonts w:asciiTheme="minorHAnsi" w:hAnsiTheme="minorHAnsi" w:cs="Calibri"/>
          <w:sz w:val="22"/>
          <w:szCs w:val="22"/>
        </w:rPr>
        <w:t xml:space="preserve"> aż</w:t>
      </w:r>
      <w:r w:rsidR="00BF33C0" w:rsidRPr="00A119BA">
        <w:rPr>
          <w:rFonts w:asciiTheme="minorHAnsi" w:hAnsiTheme="minorHAnsi" w:cs="Calibri"/>
          <w:sz w:val="22"/>
          <w:szCs w:val="22"/>
        </w:rPr>
        <w:t xml:space="preserve"> 80 proc. towarów na świecie. </w:t>
      </w:r>
      <w:r w:rsidR="00A119BA">
        <w:rPr>
          <w:rFonts w:asciiTheme="minorHAnsi" w:hAnsiTheme="minorHAnsi" w:cs="Calibri"/>
          <w:sz w:val="22"/>
          <w:szCs w:val="22"/>
        </w:rPr>
        <w:t>W marcu k</w:t>
      </w:r>
      <w:r w:rsidR="00BF33C0" w:rsidRPr="00A119BA">
        <w:rPr>
          <w:rFonts w:asciiTheme="minorHAnsi" w:hAnsiTheme="minorHAnsi" w:cs="Calibri"/>
          <w:sz w:val="22"/>
          <w:szCs w:val="22"/>
        </w:rPr>
        <w:t xml:space="preserve">oszt wysyłki </w:t>
      </w:r>
      <w:r w:rsidR="00A119BA">
        <w:rPr>
          <w:rFonts w:asciiTheme="minorHAnsi" w:hAnsiTheme="minorHAnsi" w:cs="Calibri"/>
          <w:sz w:val="22"/>
          <w:szCs w:val="22"/>
        </w:rPr>
        <w:t xml:space="preserve">jednego </w:t>
      </w:r>
      <w:r w:rsidR="00BF33C0" w:rsidRPr="00A119BA">
        <w:rPr>
          <w:rFonts w:asciiTheme="minorHAnsi" w:hAnsiTheme="minorHAnsi" w:cs="Calibri"/>
          <w:sz w:val="22"/>
          <w:szCs w:val="22"/>
        </w:rPr>
        <w:lastRenderedPageBreak/>
        <w:t>kontenera wzrósł ponad czterokrotnie</w:t>
      </w:r>
      <w:r w:rsidR="00645692">
        <w:rPr>
          <w:rFonts w:asciiTheme="minorHAnsi" w:hAnsiTheme="minorHAnsi" w:cs="Calibri"/>
          <w:sz w:val="22"/>
          <w:szCs w:val="22"/>
        </w:rPr>
        <w:t xml:space="preserve"> </w:t>
      </w:r>
      <w:r w:rsidR="00BF33C0" w:rsidRPr="00A119BA">
        <w:rPr>
          <w:rFonts w:asciiTheme="minorHAnsi" w:hAnsiTheme="minorHAnsi" w:cs="Calibri"/>
          <w:sz w:val="22"/>
          <w:szCs w:val="22"/>
        </w:rPr>
        <w:t xml:space="preserve">z 1040 </w:t>
      </w:r>
      <w:r w:rsidR="00A119BA">
        <w:rPr>
          <w:rFonts w:asciiTheme="minorHAnsi" w:hAnsiTheme="minorHAnsi" w:cs="Calibri"/>
          <w:sz w:val="22"/>
          <w:szCs w:val="22"/>
        </w:rPr>
        <w:t xml:space="preserve">dolarów amerykańskich </w:t>
      </w:r>
      <w:r w:rsidR="00BF33C0" w:rsidRPr="00A119BA">
        <w:rPr>
          <w:rFonts w:asciiTheme="minorHAnsi" w:hAnsiTheme="minorHAnsi" w:cs="Calibri"/>
          <w:sz w:val="22"/>
          <w:szCs w:val="22"/>
        </w:rPr>
        <w:t>do 4250 za kontener</w:t>
      </w:r>
      <w:r w:rsidR="00BF33C0">
        <w:rPr>
          <w:rStyle w:val="Odwoanieprzypisudolnego"/>
          <w:rFonts w:asciiTheme="minorHAnsi" w:eastAsia="Calibri" w:hAnsiTheme="minorHAnsi" w:cs="Arial"/>
          <w:bCs/>
          <w:sz w:val="22"/>
          <w:szCs w:val="22"/>
          <w:lang w:eastAsia="en-US"/>
        </w:rPr>
        <w:footnoteReference w:id="1"/>
      </w:r>
      <w:r w:rsidR="00BF33C0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. </w:t>
      </w:r>
      <w:r w:rsidR="00C53C00">
        <w:rPr>
          <w:rFonts w:asciiTheme="minorHAnsi" w:eastAsia="Calibri" w:hAnsiTheme="minorHAnsi" w:cs="Arial"/>
          <w:bCs/>
          <w:sz w:val="22"/>
          <w:szCs w:val="22"/>
          <w:lang w:eastAsia="en-US"/>
        </w:rPr>
        <w:t xml:space="preserve">Na wzrost cen transportu morskiego podwyżką cen odpowiedział transport kolejowy. </w:t>
      </w:r>
    </w:p>
    <w:p w14:paraId="03DF89E4" w14:textId="77777777" w:rsidR="00F412AF" w:rsidRPr="00BF33C0" w:rsidRDefault="00F412AF" w:rsidP="00BF33C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B3DDA6A" w14:textId="448EFDFA" w:rsidR="0003580C" w:rsidRPr="00BF33C0" w:rsidRDefault="0003580C" w:rsidP="00BF33C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F33C0">
        <w:rPr>
          <w:rFonts w:asciiTheme="minorHAnsi" w:hAnsiTheme="minorHAnsi" w:cs="Calibri"/>
          <w:sz w:val="22"/>
          <w:szCs w:val="22"/>
        </w:rPr>
        <w:t xml:space="preserve">- </w:t>
      </w:r>
      <w:r w:rsidR="00F412AF" w:rsidRPr="00BF33C0">
        <w:rPr>
          <w:rFonts w:asciiTheme="minorHAnsi" w:hAnsiTheme="minorHAnsi" w:cs="Calibri"/>
          <w:sz w:val="22"/>
          <w:szCs w:val="22"/>
        </w:rPr>
        <w:t>Kilka czynników wprost przełożyło się na wynik finansowy naszej Grupy w I kwartale roku. Pierwszym z</w:t>
      </w:r>
      <w:r w:rsidR="00645692">
        <w:rPr>
          <w:rFonts w:asciiTheme="minorHAnsi" w:hAnsiTheme="minorHAnsi" w:cs="Calibri"/>
          <w:sz w:val="22"/>
          <w:szCs w:val="22"/>
        </w:rPr>
        <w:t> </w:t>
      </w:r>
      <w:r w:rsidR="00F412AF" w:rsidRPr="00BF33C0">
        <w:rPr>
          <w:rFonts w:asciiTheme="minorHAnsi" w:hAnsiTheme="minorHAnsi" w:cs="Calibri"/>
          <w:sz w:val="22"/>
          <w:szCs w:val="22"/>
        </w:rPr>
        <w:t xml:space="preserve">nich był gwałtowny </w:t>
      </w:r>
      <w:r w:rsidRPr="00BF33C0">
        <w:rPr>
          <w:rFonts w:asciiTheme="minorHAnsi" w:hAnsiTheme="minorHAnsi" w:cs="Calibri"/>
          <w:sz w:val="22"/>
          <w:szCs w:val="22"/>
        </w:rPr>
        <w:t>wzrost</w:t>
      </w:r>
      <w:r w:rsidR="00456963" w:rsidRPr="00BF33C0">
        <w:rPr>
          <w:rFonts w:asciiTheme="minorHAnsi" w:hAnsiTheme="minorHAnsi" w:cs="Calibri"/>
          <w:sz w:val="22"/>
          <w:szCs w:val="22"/>
        </w:rPr>
        <w:t xml:space="preserve"> </w:t>
      </w:r>
      <w:r w:rsidRPr="00BF33C0">
        <w:rPr>
          <w:rFonts w:asciiTheme="minorHAnsi" w:hAnsiTheme="minorHAnsi" w:cs="Calibri"/>
          <w:sz w:val="22"/>
          <w:szCs w:val="22"/>
        </w:rPr>
        <w:t>popytu na komponenty</w:t>
      </w:r>
      <w:r w:rsidR="00F412AF" w:rsidRPr="00BF33C0">
        <w:rPr>
          <w:rFonts w:asciiTheme="minorHAnsi" w:hAnsiTheme="minorHAnsi" w:cs="Calibri"/>
          <w:sz w:val="22"/>
          <w:szCs w:val="22"/>
        </w:rPr>
        <w:t xml:space="preserve"> związany ze </w:t>
      </w:r>
      <w:r w:rsidRPr="00BF33C0">
        <w:rPr>
          <w:rFonts w:asciiTheme="minorHAnsi" w:hAnsiTheme="minorHAnsi" w:cs="Calibri"/>
          <w:sz w:val="22"/>
          <w:szCs w:val="22"/>
        </w:rPr>
        <w:t>stopniowym odmrażani</w:t>
      </w:r>
      <w:r w:rsidR="00F412AF" w:rsidRPr="00BF33C0">
        <w:rPr>
          <w:rFonts w:asciiTheme="minorHAnsi" w:hAnsiTheme="minorHAnsi" w:cs="Calibri"/>
          <w:sz w:val="22"/>
          <w:szCs w:val="22"/>
        </w:rPr>
        <w:t>em</w:t>
      </w:r>
      <w:r w:rsidRPr="00BF33C0">
        <w:rPr>
          <w:rFonts w:asciiTheme="minorHAnsi" w:hAnsiTheme="minorHAnsi" w:cs="Calibri"/>
          <w:sz w:val="22"/>
          <w:szCs w:val="22"/>
        </w:rPr>
        <w:t xml:space="preserve"> wielu branż przemysł</w:t>
      </w:r>
      <w:r w:rsidR="00F412AF" w:rsidRPr="00BF33C0">
        <w:rPr>
          <w:rFonts w:asciiTheme="minorHAnsi" w:hAnsiTheme="minorHAnsi" w:cs="Calibri"/>
          <w:sz w:val="22"/>
          <w:szCs w:val="22"/>
        </w:rPr>
        <w:t xml:space="preserve">u, co przełożyło się na wzrost ich cen. Drugi to </w:t>
      </w:r>
      <w:r w:rsidR="00456963" w:rsidRPr="00BF33C0">
        <w:rPr>
          <w:rFonts w:asciiTheme="minorHAnsi" w:hAnsiTheme="minorHAnsi" w:cs="Calibri"/>
          <w:sz w:val="22"/>
          <w:szCs w:val="22"/>
        </w:rPr>
        <w:t>niespodziewany</w:t>
      </w:r>
      <w:r w:rsidR="00F412AF" w:rsidRPr="00BF33C0">
        <w:rPr>
          <w:rFonts w:asciiTheme="minorHAnsi" w:hAnsiTheme="minorHAnsi" w:cs="Calibri"/>
          <w:sz w:val="22"/>
          <w:szCs w:val="22"/>
        </w:rPr>
        <w:t>,</w:t>
      </w:r>
      <w:r w:rsidRPr="00BF33C0">
        <w:rPr>
          <w:rFonts w:asciiTheme="minorHAnsi" w:hAnsiTheme="minorHAnsi" w:cs="Calibri"/>
          <w:sz w:val="22"/>
          <w:szCs w:val="22"/>
        </w:rPr>
        <w:t xml:space="preserve"> </w:t>
      </w:r>
      <w:r w:rsidR="00F412AF" w:rsidRPr="00BF33C0">
        <w:rPr>
          <w:rFonts w:asciiTheme="minorHAnsi" w:hAnsiTheme="minorHAnsi" w:cs="Calibri"/>
          <w:sz w:val="22"/>
          <w:szCs w:val="22"/>
        </w:rPr>
        <w:t xml:space="preserve">bo aż 30 procentowy </w:t>
      </w:r>
      <w:r w:rsidRPr="00BF33C0">
        <w:rPr>
          <w:rFonts w:asciiTheme="minorHAnsi" w:hAnsiTheme="minorHAnsi" w:cs="Calibri"/>
          <w:sz w:val="22"/>
          <w:szCs w:val="22"/>
        </w:rPr>
        <w:t>wzrost kosztów transportu</w:t>
      </w:r>
      <w:r w:rsidR="00F412AF" w:rsidRPr="00BF33C0">
        <w:rPr>
          <w:rFonts w:asciiTheme="minorHAnsi" w:hAnsiTheme="minorHAnsi" w:cs="Calibri"/>
          <w:sz w:val="22"/>
          <w:szCs w:val="22"/>
        </w:rPr>
        <w:t xml:space="preserve"> morskiego, </w:t>
      </w:r>
      <w:r w:rsidRPr="00BF33C0">
        <w:rPr>
          <w:rFonts w:asciiTheme="minorHAnsi" w:hAnsiTheme="minorHAnsi" w:cs="Calibri"/>
          <w:sz w:val="22"/>
          <w:szCs w:val="22"/>
        </w:rPr>
        <w:t xml:space="preserve">co </w:t>
      </w:r>
      <w:r w:rsidR="00F412AF" w:rsidRPr="00BF33C0">
        <w:rPr>
          <w:rFonts w:asciiTheme="minorHAnsi" w:hAnsiTheme="minorHAnsi" w:cs="Calibri"/>
          <w:sz w:val="22"/>
          <w:szCs w:val="22"/>
        </w:rPr>
        <w:t xml:space="preserve">równie </w:t>
      </w:r>
      <w:r w:rsidRPr="00BF33C0">
        <w:rPr>
          <w:rFonts w:asciiTheme="minorHAnsi" w:hAnsiTheme="minorHAnsi" w:cs="Calibri"/>
          <w:sz w:val="22"/>
          <w:szCs w:val="22"/>
        </w:rPr>
        <w:t>konsekwentnie zwiększyło popyt na transport kolejowy i</w:t>
      </w:r>
      <w:r w:rsidR="00645692">
        <w:rPr>
          <w:rFonts w:asciiTheme="minorHAnsi" w:hAnsiTheme="minorHAnsi" w:cs="Calibri"/>
          <w:sz w:val="22"/>
          <w:szCs w:val="22"/>
        </w:rPr>
        <w:t> </w:t>
      </w:r>
      <w:r w:rsidRPr="00BF33C0">
        <w:rPr>
          <w:rFonts w:asciiTheme="minorHAnsi" w:hAnsiTheme="minorHAnsi" w:cs="Calibri"/>
          <w:sz w:val="22"/>
          <w:szCs w:val="22"/>
        </w:rPr>
        <w:t xml:space="preserve">stymulowało wzrost kosztów. Dodatkowym elementem destabilizującym </w:t>
      </w:r>
      <w:r w:rsidR="00F412AF" w:rsidRPr="00BF33C0">
        <w:rPr>
          <w:rFonts w:asciiTheme="minorHAnsi" w:hAnsiTheme="minorHAnsi" w:cs="Calibri"/>
          <w:sz w:val="22"/>
          <w:szCs w:val="22"/>
        </w:rPr>
        <w:t xml:space="preserve">nasze </w:t>
      </w:r>
      <w:r w:rsidRPr="00BF33C0">
        <w:rPr>
          <w:rFonts w:asciiTheme="minorHAnsi" w:hAnsiTheme="minorHAnsi" w:cs="Calibri"/>
          <w:sz w:val="22"/>
          <w:szCs w:val="22"/>
        </w:rPr>
        <w:t>dostawy komponentów była blokada Kanału Sueskiego w marcu 2021 roku,</w:t>
      </w:r>
      <w:r w:rsidR="00F412AF" w:rsidRPr="00BF33C0">
        <w:rPr>
          <w:rFonts w:asciiTheme="minorHAnsi" w:hAnsiTheme="minorHAnsi" w:cs="Calibri"/>
          <w:sz w:val="22"/>
          <w:szCs w:val="22"/>
        </w:rPr>
        <w:t xml:space="preserve"> w wyniku której zostaliśmy zmuszeni do skorzystania z</w:t>
      </w:r>
      <w:r w:rsidRPr="00BF33C0">
        <w:rPr>
          <w:rFonts w:asciiTheme="minorHAnsi" w:hAnsiTheme="minorHAnsi" w:cs="Calibri"/>
          <w:sz w:val="22"/>
          <w:szCs w:val="22"/>
        </w:rPr>
        <w:t xml:space="preserve"> </w:t>
      </w:r>
      <w:r w:rsidR="00F412AF" w:rsidRPr="00BF33C0">
        <w:rPr>
          <w:rFonts w:asciiTheme="minorHAnsi" w:hAnsiTheme="minorHAnsi" w:cs="Calibri"/>
          <w:sz w:val="22"/>
          <w:szCs w:val="22"/>
        </w:rPr>
        <w:t xml:space="preserve">drogiego transportu </w:t>
      </w:r>
      <w:r w:rsidRPr="00BF33C0">
        <w:rPr>
          <w:rFonts w:asciiTheme="minorHAnsi" w:hAnsiTheme="minorHAnsi" w:cs="Calibri"/>
          <w:sz w:val="22"/>
          <w:szCs w:val="22"/>
        </w:rPr>
        <w:t>lotnicz</w:t>
      </w:r>
      <w:r w:rsidR="00F412AF" w:rsidRPr="00BF33C0">
        <w:rPr>
          <w:rFonts w:asciiTheme="minorHAnsi" w:hAnsiTheme="minorHAnsi" w:cs="Calibri"/>
          <w:sz w:val="22"/>
          <w:szCs w:val="22"/>
        </w:rPr>
        <w:t>ego</w:t>
      </w:r>
      <w:r w:rsidRPr="00BF33C0">
        <w:rPr>
          <w:rFonts w:asciiTheme="minorHAnsi" w:hAnsiTheme="minorHAnsi" w:cs="Calibri"/>
          <w:sz w:val="22"/>
          <w:szCs w:val="22"/>
        </w:rPr>
        <w:t xml:space="preserve"> – </w:t>
      </w:r>
      <w:r w:rsidR="00F412AF" w:rsidRPr="00BF33C0">
        <w:rPr>
          <w:rFonts w:asciiTheme="minorHAnsi" w:hAnsiTheme="minorHAnsi" w:cs="Calibri"/>
          <w:sz w:val="22"/>
          <w:szCs w:val="22"/>
        </w:rPr>
        <w:t xml:space="preserve">tłumaczy </w:t>
      </w:r>
      <w:r w:rsidR="00456963" w:rsidRPr="00BF33C0">
        <w:rPr>
          <w:rFonts w:asciiTheme="minorHAnsi" w:hAnsiTheme="minorHAnsi" w:cs="Calibri"/>
          <w:b/>
          <w:bCs/>
          <w:sz w:val="22"/>
          <w:szCs w:val="22"/>
        </w:rPr>
        <w:t>Jakub Wtorkowski, Dyrektor ds. finansów strategicznych i</w:t>
      </w:r>
      <w:r w:rsidR="00645692">
        <w:rPr>
          <w:rFonts w:asciiTheme="minorHAnsi" w:hAnsiTheme="minorHAnsi" w:cs="Calibri"/>
          <w:b/>
          <w:bCs/>
          <w:sz w:val="22"/>
          <w:szCs w:val="22"/>
        </w:rPr>
        <w:t> </w:t>
      </w:r>
      <w:proofErr w:type="spellStart"/>
      <w:r w:rsidR="00456963" w:rsidRPr="00BF33C0">
        <w:rPr>
          <w:rFonts w:asciiTheme="minorHAnsi" w:hAnsiTheme="minorHAnsi" w:cs="Calibri"/>
          <w:b/>
          <w:bCs/>
          <w:sz w:val="22"/>
          <w:szCs w:val="22"/>
        </w:rPr>
        <w:t>ryzyk</w:t>
      </w:r>
      <w:proofErr w:type="spellEnd"/>
      <w:r w:rsidR="00F412AF" w:rsidRPr="00BF33C0">
        <w:rPr>
          <w:rFonts w:asciiTheme="minorHAnsi" w:hAnsiTheme="minorHAnsi" w:cs="Calibri"/>
          <w:b/>
          <w:bCs/>
          <w:sz w:val="22"/>
          <w:szCs w:val="22"/>
        </w:rPr>
        <w:t>.</w:t>
      </w:r>
    </w:p>
    <w:p w14:paraId="024EA380" w14:textId="77777777" w:rsidR="002E3000" w:rsidRPr="00BF33C0" w:rsidRDefault="002E3000" w:rsidP="00BF33C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D83D853" w14:textId="2361BED8" w:rsidR="00BF33C0" w:rsidRDefault="00FB4E85" w:rsidP="00BF33C0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BF33C0">
        <w:rPr>
          <w:rFonts w:asciiTheme="minorHAnsi" w:hAnsiTheme="minorHAnsi" w:cs="Calibri"/>
          <w:b/>
          <w:bCs/>
          <w:sz w:val="22"/>
          <w:szCs w:val="22"/>
        </w:rPr>
        <w:t>Dobre perspektywy na kolejne kwartały</w:t>
      </w:r>
    </w:p>
    <w:p w14:paraId="77E32FB2" w14:textId="779010C5" w:rsidR="00BF33C0" w:rsidRDefault="00BF33C0" w:rsidP="00BF33C0">
      <w:pPr>
        <w:spacing w:line="276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</w:p>
    <w:p w14:paraId="1DE31AED" w14:textId="2A313D97" w:rsidR="002E3000" w:rsidRPr="00BF33C0" w:rsidRDefault="00FB4E85" w:rsidP="00A119B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BF33C0">
        <w:rPr>
          <w:rFonts w:asciiTheme="minorHAnsi" w:hAnsiTheme="minorHAnsi"/>
          <w:sz w:val="22"/>
          <w:szCs w:val="22"/>
        </w:rPr>
        <w:t>P</w:t>
      </w:r>
      <w:r w:rsidR="002E3000" w:rsidRPr="00BF33C0">
        <w:rPr>
          <w:rFonts w:asciiTheme="minorHAnsi" w:hAnsiTheme="minorHAnsi"/>
          <w:sz w:val="22"/>
          <w:szCs w:val="22"/>
        </w:rPr>
        <w:t xml:space="preserve">ozytywnym zdarzeniem w I kwartale 2021 roku było podpisanie kontraktu na modernizację oświetlenia infrastrukturalnego z Miastem Stołecznym Warszawa, w ramach którego </w:t>
      </w:r>
      <w:r w:rsidRPr="00BF33C0">
        <w:rPr>
          <w:rFonts w:asciiTheme="minorHAnsi" w:hAnsiTheme="minorHAnsi"/>
          <w:sz w:val="22"/>
          <w:szCs w:val="22"/>
        </w:rPr>
        <w:t xml:space="preserve">należąca do Grupy Kapitałowej spółka </w:t>
      </w:r>
      <w:r w:rsidR="002E3000" w:rsidRPr="00BF33C0">
        <w:rPr>
          <w:rFonts w:asciiTheme="minorHAnsi" w:hAnsiTheme="minorHAnsi"/>
          <w:sz w:val="22"/>
          <w:szCs w:val="22"/>
        </w:rPr>
        <w:t xml:space="preserve">LUG </w:t>
      </w:r>
      <w:proofErr w:type="spellStart"/>
      <w:r w:rsidR="002E3000" w:rsidRPr="00BF33C0">
        <w:rPr>
          <w:rFonts w:asciiTheme="minorHAnsi" w:hAnsiTheme="minorHAnsi"/>
          <w:sz w:val="22"/>
          <w:szCs w:val="22"/>
        </w:rPr>
        <w:t>Light</w:t>
      </w:r>
      <w:proofErr w:type="spellEnd"/>
      <w:r w:rsidR="002E3000" w:rsidRPr="00BF33C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E3000" w:rsidRPr="00BF33C0">
        <w:rPr>
          <w:rFonts w:asciiTheme="minorHAnsi" w:hAnsiTheme="minorHAnsi"/>
          <w:sz w:val="22"/>
          <w:szCs w:val="22"/>
        </w:rPr>
        <w:t>Factory</w:t>
      </w:r>
      <w:proofErr w:type="spellEnd"/>
      <w:r w:rsidR="002E3000" w:rsidRPr="00BF33C0">
        <w:rPr>
          <w:rFonts w:asciiTheme="minorHAnsi" w:hAnsiTheme="minorHAnsi"/>
          <w:sz w:val="22"/>
          <w:szCs w:val="22"/>
        </w:rPr>
        <w:t xml:space="preserve"> dostarczy ok. 38,5 tys. opraw oświetleniowych zaprojektowanych specjalnie dla</w:t>
      </w:r>
      <w:r w:rsidR="00645692">
        <w:rPr>
          <w:rFonts w:asciiTheme="minorHAnsi" w:hAnsiTheme="minorHAnsi"/>
          <w:sz w:val="22"/>
          <w:szCs w:val="22"/>
        </w:rPr>
        <w:t> </w:t>
      </w:r>
      <w:r w:rsidR="002E3000" w:rsidRPr="00BF33C0">
        <w:rPr>
          <w:rFonts w:asciiTheme="minorHAnsi" w:hAnsiTheme="minorHAnsi"/>
          <w:sz w:val="22"/>
          <w:szCs w:val="22"/>
        </w:rPr>
        <w:t xml:space="preserve">stolicy Polski. Wartość podstawowego kontraktu wynosi ponad 32,08 mln zł brutto i może zostać powiększona o kolejne 5 mln zł brutto. Kontrakt będzie realizowany w 2021 i 2022 roku. </w:t>
      </w:r>
      <w:r w:rsidRPr="00BF33C0">
        <w:rPr>
          <w:rFonts w:asciiTheme="minorHAnsi" w:hAnsiTheme="minorHAnsi"/>
          <w:sz w:val="22"/>
          <w:szCs w:val="22"/>
        </w:rPr>
        <w:t xml:space="preserve"> Nowe </w:t>
      </w:r>
      <w:r w:rsidR="00645692">
        <w:rPr>
          <w:rFonts w:asciiTheme="minorHAnsi" w:hAnsiTheme="minorHAnsi"/>
          <w:sz w:val="22"/>
          <w:szCs w:val="22"/>
        </w:rPr>
        <w:t>opraw</w:t>
      </w:r>
      <w:r w:rsidRPr="00BF33C0">
        <w:rPr>
          <w:rFonts w:asciiTheme="minorHAnsi" w:hAnsiTheme="minorHAnsi"/>
          <w:sz w:val="22"/>
          <w:szCs w:val="22"/>
        </w:rPr>
        <w:t xml:space="preserve">y będą na ulicach stolicy instalowane etapami, a ostatnia partia powinna pojawić się w grudniu 2022 roku. </w:t>
      </w:r>
    </w:p>
    <w:p w14:paraId="28252F62" w14:textId="35978DC1" w:rsidR="00FB4E85" w:rsidRPr="00BF33C0" w:rsidRDefault="00FB4E85" w:rsidP="00BF33C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520A77B" w14:textId="77777777" w:rsidR="00643A5D" w:rsidRDefault="00FB4E85" w:rsidP="00BF33C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F33C0">
        <w:rPr>
          <w:rFonts w:asciiTheme="minorHAnsi" w:hAnsiTheme="minorHAnsi"/>
          <w:sz w:val="22"/>
          <w:szCs w:val="22"/>
        </w:rPr>
        <w:t>-  Wielokrotnie podkreślałem, że kontrakt na wymianę oświetlenia Stolicy to dla nas prawdziwy zaszczyt. Obecnie realizujemy etap</w:t>
      </w:r>
      <w:r w:rsidR="00D55138">
        <w:rPr>
          <w:rFonts w:asciiTheme="minorHAnsi" w:hAnsiTheme="minorHAnsi"/>
          <w:sz w:val="22"/>
          <w:szCs w:val="22"/>
        </w:rPr>
        <w:t>y związane z projektowaniem opraw, certyfikacją</w:t>
      </w:r>
      <w:r w:rsidR="00704A75">
        <w:rPr>
          <w:rFonts w:asciiTheme="minorHAnsi" w:hAnsiTheme="minorHAnsi"/>
          <w:sz w:val="22"/>
          <w:szCs w:val="22"/>
        </w:rPr>
        <w:t xml:space="preserve">, projektami fotometrycznymi oraz systemem do inwentaryzacji </w:t>
      </w:r>
      <w:r w:rsidRPr="00BF33C0">
        <w:rPr>
          <w:rFonts w:asciiTheme="minorHAnsi" w:hAnsiTheme="minorHAnsi"/>
          <w:sz w:val="22"/>
          <w:szCs w:val="22"/>
        </w:rPr>
        <w:t xml:space="preserve">i wszystko idzie zgodnie z planem.  </w:t>
      </w:r>
      <w:r w:rsidR="00643A5D">
        <w:rPr>
          <w:rFonts w:asciiTheme="minorHAnsi" w:hAnsiTheme="minorHAnsi"/>
          <w:sz w:val="22"/>
          <w:szCs w:val="22"/>
        </w:rPr>
        <w:t xml:space="preserve">W pierwszym kwartale pozyskaliśmy także kilka innych dużych projektów infrastrukturalnych dla mniejszych JST. </w:t>
      </w:r>
      <w:r w:rsidRPr="00BF33C0">
        <w:rPr>
          <w:rFonts w:asciiTheme="minorHAnsi" w:hAnsiTheme="minorHAnsi"/>
          <w:sz w:val="22"/>
          <w:szCs w:val="22"/>
        </w:rPr>
        <w:t xml:space="preserve">Dlatego też po trudnym początku roku </w:t>
      </w:r>
      <w:r w:rsidR="00BF33C0" w:rsidRPr="00BF33C0">
        <w:rPr>
          <w:rFonts w:asciiTheme="minorHAnsi" w:hAnsiTheme="minorHAnsi"/>
          <w:sz w:val="22"/>
          <w:szCs w:val="22"/>
        </w:rPr>
        <w:t xml:space="preserve">sądzę, że kolejne </w:t>
      </w:r>
      <w:r w:rsidR="002E3000" w:rsidRPr="00BF33C0">
        <w:rPr>
          <w:rFonts w:asciiTheme="minorHAnsi" w:hAnsiTheme="minorHAnsi" w:cs="Calibri"/>
          <w:sz w:val="22"/>
          <w:szCs w:val="22"/>
        </w:rPr>
        <w:t>okres</w:t>
      </w:r>
      <w:r w:rsidR="00BF33C0" w:rsidRPr="00BF33C0">
        <w:rPr>
          <w:rFonts w:asciiTheme="minorHAnsi" w:hAnsiTheme="minorHAnsi" w:cs="Calibri"/>
          <w:sz w:val="22"/>
          <w:szCs w:val="22"/>
        </w:rPr>
        <w:t>y będą bardziej</w:t>
      </w:r>
      <w:r w:rsidR="002E3000" w:rsidRPr="00BF33C0">
        <w:rPr>
          <w:rFonts w:asciiTheme="minorHAnsi" w:hAnsiTheme="minorHAnsi" w:cs="Calibri"/>
          <w:sz w:val="22"/>
          <w:szCs w:val="22"/>
        </w:rPr>
        <w:t xml:space="preserve"> stabiln</w:t>
      </w:r>
      <w:r w:rsidR="00BF33C0" w:rsidRPr="00BF33C0">
        <w:rPr>
          <w:rFonts w:asciiTheme="minorHAnsi" w:hAnsiTheme="minorHAnsi" w:cs="Calibri"/>
          <w:sz w:val="22"/>
          <w:szCs w:val="22"/>
        </w:rPr>
        <w:t>e</w:t>
      </w:r>
      <w:r w:rsidR="00643A5D">
        <w:rPr>
          <w:rFonts w:asciiTheme="minorHAnsi" w:hAnsiTheme="minorHAnsi" w:cs="Calibri"/>
          <w:sz w:val="22"/>
          <w:szCs w:val="22"/>
        </w:rPr>
        <w:t xml:space="preserve"> </w:t>
      </w:r>
      <w:r w:rsidR="00BF33C0" w:rsidRPr="00BF33C0">
        <w:rPr>
          <w:rFonts w:asciiTheme="minorHAnsi" w:hAnsiTheme="minorHAnsi" w:cs="Calibri"/>
          <w:sz w:val="22"/>
          <w:szCs w:val="22"/>
        </w:rPr>
        <w:t xml:space="preserve">– </w:t>
      </w:r>
      <w:r w:rsidR="00BF33C0" w:rsidRPr="00BF33C0">
        <w:rPr>
          <w:rFonts w:asciiTheme="minorHAnsi" w:hAnsiTheme="minorHAnsi" w:cs="Calibri"/>
          <w:b/>
          <w:bCs/>
          <w:sz w:val="22"/>
          <w:szCs w:val="22"/>
        </w:rPr>
        <w:t>mówi Ryszard Wtorkowski, prezes zarządu LUG S.A.</w:t>
      </w:r>
      <w:r w:rsidR="002E3000" w:rsidRPr="00BF33C0">
        <w:rPr>
          <w:rFonts w:asciiTheme="minorHAnsi" w:hAnsiTheme="minorHAnsi" w:cs="Calibri"/>
          <w:sz w:val="22"/>
          <w:szCs w:val="22"/>
        </w:rPr>
        <w:t xml:space="preserve"> </w:t>
      </w:r>
      <w:r w:rsidR="00BF33C0" w:rsidRPr="00BF33C0">
        <w:rPr>
          <w:rFonts w:asciiTheme="minorHAnsi" w:hAnsiTheme="minorHAnsi" w:cs="Calibri"/>
          <w:sz w:val="22"/>
          <w:szCs w:val="22"/>
        </w:rPr>
        <w:t xml:space="preserve"> </w:t>
      </w:r>
    </w:p>
    <w:p w14:paraId="4A85AF17" w14:textId="77777777" w:rsidR="00643A5D" w:rsidRDefault="00643A5D" w:rsidP="00BF33C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E409353" w14:textId="293F9F73" w:rsidR="002E3000" w:rsidRPr="00BF33C0" w:rsidRDefault="00643A5D" w:rsidP="00BF33C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LUG podejmuje konkretne kroki w celu </w:t>
      </w:r>
      <w:r w:rsidR="002E3000" w:rsidRPr="00BF33C0">
        <w:rPr>
          <w:rFonts w:asciiTheme="minorHAnsi" w:hAnsiTheme="minorHAnsi" w:cs="Calibri"/>
          <w:sz w:val="22"/>
          <w:szCs w:val="22"/>
        </w:rPr>
        <w:t>łagodz</w:t>
      </w:r>
      <w:r>
        <w:rPr>
          <w:rFonts w:asciiTheme="minorHAnsi" w:hAnsiTheme="minorHAnsi" w:cs="Calibri"/>
          <w:sz w:val="22"/>
          <w:szCs w:val="22"/>
        </w:rPr>
        <w:t>enia</w:t>
      </w:r>
      <w:r w:rsidR="002E3000" w:rsidRPr="00BF33C0">
        <w:rPr>
          <w:rFonts w:asciiTheme="minorHAnsi" w:hAnsiTheme="minorHAnsi" w:cs="Calibri"/>
          <w:sz w:val="22"/>
          <w:szCs w:val="22"/>
        </w:rPr>
        <w:t xml:space="preserve"> wpły</w:t>
      </w:r>
      <w:r w:rsidR="00BF33C0" w:rsidRPr="00BF33C0">
        <w:rPr>
          <w:rFonts w:asciiTheme="minorHAnsi" w:hAnsiTheme="minorHAnsi" w:cs="Calibri"/>
          <w:sz w:val="22"/>
          <w:szCs w:val="22"/>
        </w:rPr>
        <w:t>w</w:t>
      </w:r>
      <w:r>
        <w:rPr>
          <w:rFonts w:asciiTheme="minorHAnsi" w:hAnsiTheme="minorHAnsi" w:cs="Calibri"/>
          <w:sz w:val="22"/>
          <w:szCs w:val="22"/>
        </w:rPr>
        <w:t>u</w:t>
      </w:r>
      <w:r w:rsidR="002E3000" w:rsidRPr="00BF33C0">
        <w:rPr>
          <w:rFonts w:asciiTheme="minorHAnsi" w:hAnsiTheme="minorHAnsi" w:cs="Calibri"/>
          <w:sz w:val="22"/>
          <w:szCs w:val="22"/>
        </w:rPr>
        <w:t xml:space="preserve"> czynników</w:t>
      </w:r>
      <w:r>
        <w:rPr>
          <w:rFonts w:asciiTheme="minorHAnsi" w:hAnsiTheme="minorHAnsi" w:cs="Calibri"/>
          <w:sz w:val="22"/>
          <w:szCs w:val="22"/>
        </w:rPr>
        <w:t xml:space="preserve"> związanych z kosztami transportu i cenami komponentów</w:t>
      </w:r>
      <w:r w:rsidR="002E3000" w:rsidRPr="00BF33C0">
        <w:rPr>
          <w:rFonts w:asciiTheme="minorHAnsi" w:hAnsiTheme="minorHAnsi" w:cs="Calibri"/>
          <w:sz w:val="22"/>
          <w:szCs w:val="22"/>
        </w:rPr>
        <w:t xml:space="preserve"> na wyniki finansowe </w:t>
      </w:r>
      <w:r>
        <w:rPr>
          <w:rFonts w:asciiTheme="minorHAnsi" w:hAnsiTheme="minorHAnsi" w:cs="Calibri"/>
          <w:sz w:val="22"/>
          <w:szCs w:val="22"/>
        </w:rPr>
        <w:t>grupy kapitałowej</w:t>
      </w:r>
      <w:r w:rsidR="002E3000" w:rsidRPr="00BF33C0">
        <w:rPr>
          <w:rFonts w:asciiTheme="minorHAnsi" w:hAnsiTheme="minorHAnsi" w:cs="Calibri"/>
          <w:sz w:val="22"/>
          <w:szCs w:val="22"/>
        </w:rPr>
        <w:t>. Jednym ze wspomnianych działań jest decyzja o podniesieni</w:t>
      </w:r>
      <w:r w:rsidR="00A119BA">
        <w:rPr>
          <w:rFonts w:asciiTheme="minorHAnsi" w:hAnsiTheme="minorHAnsi" w:cs="Calibri"/>
          <w:sz w:val="22"/>
          <w:szCs w:val="22"/>
        </w:rPr>
        <w:t>u</w:t>
      </w:r>
      <w:r w:rsidR="002E3000" w:rsidRPr="00BF33C0">
        <w:rPr>
          <w:rFonts w:asciiTheme="minorHAnsi" w:hAnsiTheme="minorHAnsi" w:cs="Calibri"/>
          <w:sz w:val="22"/>
          <w:szCs w:val="22"/>
        </w:rPr>
        <w:t xml:space="preserve"> cen produktów w asortymencie LUG, która wejdzie w życie z początkiem czerwca br</w:t>
      </w:r>
      <w:r w:rsidR="002E3000" w:rsidRPr="00BF33C0">
        <w:rPr>
          <w:rFonts w:asciiTheme="minorHAnsi" w:hAnsiTheme="minorHAnsi"/>
          <w:sz w:val="22"/>
          <w:szCs w:val="22"/>
        </w:rPr>
        <w:t>.</w:t>
      </w:r>
      <w:r w:rsidR="00BF33C0" w:rsidRPr="00BF33C0">
        <w:rPr>
          <w:rFonts w:asciiTheme="minorHAnsi" w:hAnsiTheme="minorHAnsi"/>
          <w:sz w:val="22"/>
          <w:szCs w:val="22"/>
        </w:rPr>
        <w:t xml:space="preserve"> – dodaje.</w:t>
      </w:r>
    </w:p>
    <w:p w14:paraId="7E60A60C" w14:textId="77777777" w:rsidR="002E3000" w:rsidRPr="00BF33C0" w:rsidRDefault="002E3000" w:rsidP="00BF33C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5CCF24D3" w14:textId="6A0485BB" w:rsidR="002E3000" w:rsidRPr="00BF33C0" w:rsidRDefault="002E3000" w:rsidP="00BF33C0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BF33C0">
        <w:rPr>
          <w:rFonts w:asciiTheme="minorHAnsi" w:hAnsiTheme="minorHAnsi" w:cs="Calibri"/>
          <w:sz w:val="22"/>
          <w:szCs w:val="22"/>
        </w:rPr>
        <w:t xml:space="preserve">Ostateczne wartości danych finansowych przedstawionych w niniejszym raporcie zostaną opublikowane </w:t>
      </w:r>
      <w:r w:rsidR="00FB4E85" w:rsidRPr="00BF33C0">
        <w:rPr>
          <w:rFonts w:asciiTheme="minorHAnsi" w:hAnsiTheme="minorHAnsi" w:cs="Calibri"/>
          <w:sz w:val="22"/>
          <w:szCs w:val="22"/>
        </w:rPr>
        <w:t xml:space="preserve">13 maja </w:t>
      </w:r>
      <w:r w:rsidRPr="00BF33C0">
        <w:rPr>
          <w:rFonts w:asciiTheme="minorHAnsi" w:hAnsiTheme="minorHAnsi" w:cs="Calibri"/>
          <w:sz w:val="22"/>
          <w:szCs w:val="22"/>
        </w:rPr>
        <w:t>w raporcie okresowym za I kwartał 2021 roku.</w:t>
      </w:r>
    </w:p>
    <w:p w14:paraId="2BB6F97E" w14:textId="258E2E11" w:rsidR="009B4A99" w:rsidRPr="00BF33C0" w:rsidRDefault="009B4A99" w:rsidP="00BF33C0">
      <w:pPr>
        <w:spacing w:line="276" w:lineRule="auto"/>
        <w:jc w:val="both"/>
        <w:rPr>
          <w:rFonts w:asciiTheme="minorHAnsi" w:hAnsiTheme="minorHAnsi" w:cstheme="minorHAnsi"/>
          <w:color w:val="231F20"/>
          <w:sz w:val="22"/>
          <w:szCs w:val="22"/>
        </w:rPr>
      </w:pPr>
    </w:p>
    <w:p w14:paraId="4EF1B046" w14:textId="77777777" w:rsidR="00555941" w:rsidRPr="00BF33C0" w:rsidRDefault="00555941" w:rsidP="00BF33C0">
      <w:pPr>
        <w:spacing w:line="276" w:lineRule="auto"/>
        <w:jc w:val="both"/>
        <w:rPr>
          <w:rFonts w:asciiTheme="minorHAnsi" w:hAnsiTheme="minorHAnsi" w:cstheme="minorHAnsi"/>
          <w:color w:val="C00000"/>
          <w:sz w:val="20"/>
          <w:szCs w:val="20"/>
        </w:rPr>
      </w:pPr>
    </w:p>
    <w:p w14:paraId="273304DC" w14:textId="77777777" w:rsidR="00BF33C0" w:rsidRPr="00BF33C0" w:rsidRDefault="00BF33C0" w:rsidP="00BF33C0">
      <w:pPr>
        <w:spacing w:line="276" w:lineRule="auto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</w:p>
    <w:p w14:paraId="1B5DB586" w14:textId="77777777" w:rsidR="00A0186C" w:rsidRPr="00BF33C0" w:rsidRDefault="00A0186C" w:rsidP="00BF33C0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F33C0">
        <w:rPr>
          <w:rFonts w:asciiTheme="minorHAnsi" w:hAnsiTheme="minorHAnsi" w:cstheme="minorHAnsi"/>
          <w:sz w:val="20"/>
          <w:szCs w:val="20"/>
        </w:rPr>
        <w:t>***</w:t>
      </w:r>
    </w:p>
    <w:p w14:paraId="7509A267" w14:textId="77777777" w:rsidR="00A0186C" w:rsidRPr="00BF33C0" w:rsidRDefault="00A0186C" w:rsidP="00BF33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A849A0" w14:textId="1F5603B2" w:rsidR="00A0186C" w:rsidRPr="00BF33C0" w:rsidRDefault="00A0186C" w:rsidP="00BF33C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F33C0">
        <w:rPr>
          <w:rFonts w:asciiTheme="minorHAnsi" w:hAnsiTheme="minorHAnsi" w:cstheme="minorHAnsi"/>
          <w:sz w:val="20"/>
          <w:szCs w:val="20"/>
        </w:rPr>
        <w:t xml:space="preserve">LUG S.A. to spółka holdingowa Grupy Kapitałowej LUG S.A. – jednego z czołowych europejskich producentów profesjonalnych rozwiązań oświetleniowych. Grupa sprzedaje swoje produkty w Polsce oraz w kilkudziesięciu krajach na całym świecie. Posiadająca </w:t>
      </w:r>
      <w:r w:rsidR="00BA78D2" w:rsidRPr="00BF33C0">
        <w:rPr>
          <w:rFonts w:asciiTheme="minorHAnsi" w:hAnsiTheme="minorHAnsi" w:cstheme="minorHAnsi"/>
          <w:sz w:val="20"/>
          <w:szCs w:val="20"/>
        </w:rPr>
        <w:t xml:space="preserve">ponad </w:t>
      </w:r>
      <w:r w:rsidRPr="00BF33C0">
        <w:rPr>
          <w:rFonts w:asciiTheme="minorHAnsi" w:hAnsiTheme="minorHAnsi" w:cstheme="minorHAnsi"/>
          <w:sz w:val="20"/>
          <w:szCs w:val="20"/>
        </w:rPr>
        <w:t xml:space="preserve">30 lat doświadczenia firma z siedzibą w Zielonej Górze, od 2008 roku funkcjonuje jako Grupa Kapitałowa. W jej skład wchodzą: LUG S.A., LUG </w:t>
      </w:r>
      <w:proofErr w:type="spellStart"/>
      <w:r w:rsidRPr="00BF33C0">
        <w:rPr>
          <w:rFonts w:asciiTheme="minorHAnsi" w:hAnsiTheme="minorHAnsi" w:cstheme="minorHAnsi"/>
          <w:sz w:val="20"/>
          <w:szCs w:val="20"/>
        </w:rPr>
        <w:t>Light</w:t>
      </w:r>
      <w:proofErr w:type="spellEnd"/>
      <w:r w:rsidRPr="00BF33C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F33C0">
        <w:rPr>
          <w:rFonts w:asciiTheme="minorHAnsi" w:hAnsiTheme="minorHAnsi" w:cstheme="minorHAnsi"/>
          <w:sz w:val="20"/>
          <w:szCs w:val="20"/>
        </w:rPr>
        <w:t>Factory</w:t>
      </w:r>
      <w:proofErr w:type="spellEnd"/>
      <w:r w:rsidRPr="00BF33C0">
        <w:rPr>
          <w:rFonts w:asciiTheme="minorHAnsi" w:hAnsiTheme="minorHAnsi" w:cstheme="minorHAnsi"/>
          <w:sz w:val="20"/>
          <w:szCs w:val="20"/>
        </w:rPr>
        <w:t xml:space="preserve"> Sp. z o.o., LUG GmbH, LUG</w:t>
      </w:r>
      <w:r w:rsidR="009457B5" w:rsidRPr="00BF33C0">
        <w:rPr>
          <w:rFonts w:asciiTheme="minorHAnsi" w:hAnsiTheme="minorHAnsi" w:cstheme="minorHAnsi"/>
          <w:sz w:val="20"/>
          <w:szCs w:val="20"/>
        </w:rPr>
        <w:t> </w:t>
      </w:r>
      <w:r w:rsidRPr="00BF33C0">
        <w:rPr>
          <w:rFonts w:asciiTheme="minorHAnsi" w:hAnsiTheme="minorHAnsi" w:cstheme="minorHAnsi"/>
          <w:sz w:val="20"/>
          <w:szCs w:val="20"/>
        </w:rPr>
        <w:t>do</w:t>
      </w:r>
      <w:r w:rsidR="009457B5" w:rsidRPr="00BF33C0"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BF33C0">
        <w:rPr>
          <w:rFonts w:asciiTheme="minorHAnsi" w:hAnsiTheme="minorHAnsi" w:cstheme="minorHAnsi"/>
          <w:sz w:val="20"/>
          <w:szCs w:val="20"/>
        </w:rPr>
        <w:t>Brasil</w:t>
      </w:r>
      <w:proofErr w:type="spellEnd"/>
      <w:r w:rsidRPr="00BF33C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BF33C0">
        <w:rPr>
          <w:rFonts w:asciiTheme="minorHAnsi" w:hAnsiTheme="minorHAnsi" w:cstheme="minorHAnsi"/>
          <w:sz w:val="20"/>
          <w:szCs w:val="20"/>
        </w:rPr>
        <w:t>Ltda</w:t>
      </w:r>
      <w:proofErr w:type="spellEnd"/>
      <w:r w:rsidRPr="00BF33C0">
        <w:rPr>
          <w:rFonts w:asciiTheme="minorHAnsi" w:hAnsiTheme="minorHAnsi" w:cstheme="minorHAnsi"/>
          <w:sz w:val="20"/>
          <w:szCs w:val="20"/>
        </w:rPr>
        <w:t xml:space="preserve">, LUG </w:t>
      </w:r>
      <w:proofErr w:type="spellStart"/>
      <w:r w:rsidRPr="00BF33C0">
        <w:rPr>
          <w:rFonts w:asciiTheme="minorHAnsi" w:hAnsiTheme="minorHAnsi" w:cstheme="minorHAnsi"/>
          <w:sz w:val="20"/>
          <w:szCs w:val="20"/>
        </w:rPr>
        <w:t>Lighting</w:t>
      </w:r>
      <w:proofErr w:type="spellEnd"/>
      <w:r w:rsidRPr="00BF33C0">
        <w:rPr>
          <w:rFonts w:asciiTheme="minorHAnsi" w:hAnsiTheme="minorHAnsi" w:cstheme="minorHAnsi"/>
          <w:sz w:val="20"/>
          <w:szCs w:val="20"/>
        </w:rPr>
        <w:t xml:space="preserve"> UK Ltd., TOW LUG Ukraina, BIOT Sp. z o.o., LUG </w:t>
      </w:r>
      <w:proofErr w:type="spellStart"/>
      <w:r w:rsidRPr="00BF33C0">
        <w:rPr>
          <w:rFonts w:asciiTheme="minorHAnsi" w:hAnsiTheme="minorHAnsi" w:cstheme="minorHAnsi"/>
          <w:sz w:val="20"/>
          <w:szCs w:val="20"/>
        </w:rPr>
        <w:t>Argentina</w:t>
      </w:r>
      <w:proofErr w:type="spellEnd"/>
      <w:r w:rsidRPr="00BF33C0">
        <w:rPr>
          <w:rFonts w:asciiTheme="minorHAnsi" w:hAnsiTheme="minorHAnsi" w:cstheme="minorHAnsi"/>
          <w:sz w:val="20"/>
          <w:szCs w:val="20"/>
        </w:rPr>
        <w:t xml:space="preserve"> S.A.</w:t>
      </w:r>
      <w:r w:rsidR="002B3947" w:rsidRPr="00BF33C0">
        <w:rPr>
          <w:rFonts w:asciiTheme="minorHAnsi" w:hAnsiTheme="minorHAnsi" w:cstheme="minorHAnsi"/>
          <w:sz w:val="20"/>
          <w:szCs w:val="20"/>
        </w:rPr>
        <w:t xml:space="preserve">, </w:t>
      </w:r>
      <w:r w:rsidRPr="00BF33C0">
        <w:rPr>
          <w:rFonts w:asciiTheme="minorHAnsi" w:hAnsiTheme="minorHAnsi" w:cstheme="minorHAnsi"/>
          <w:sz w:val="20"/>
          <w:szCs w:val="20"/>
        </w:rPr>
        <w:t>LUG Turkey</w:t>
      </w:r>
      <w:r w:rsidR="009457B5" w:rsidRPr="00BF33C0">
        <w:rPr>
          <w:rFonts w:asciiTheme="minorHAnsi" w:hAnsiTheme="minorHAnsi" w:cstheme="minorHAnsi"/>
          <w:sz w:val="20"/>
          <w:szCs w:val="20"/>
        </w:rPr>
        <w:t>, LUG Services Sp. z o.o., ESCOLIGHT Sp. z o.o.</w:t>
      </w:r>
      <w:r w:rsidR="002B3947" w:rsidRPr="00BF33C0">
        <w:rPr>
          <w:rFonts w:asciiTheme="minorHAnsi" w:hAnsiTheme="minorHAnsi" w:cstheme="minorHAnsi"/>
          <w:sz w:val="20"/>
          <w:szCs w:val="20"/>
        </w:rPr>
        <w:t xml:space="preserve"> oraz LUG West </w:t>
      </w:r>
      <w:proofErr w:type="spellStart"/>
      <w:r w:rsidR="002B3947" w:rsidRPr="00BF33C0">
        <w:rPr>
          <w:rFonts w:asciiTheme="minorHAnsi" w:hAnsiTheme="minorHAnsi" w:cstheme="minorHAnsi"/>
          <w:sz w:val="20"/>
          <w:szCs w:val="20"/>
        </w:rPr>
        <w:t>Africa</w:t>
      </w:r>
      <w:proofErr w:type="spellEnd"/>
      <w:r w:rsidR="002B3947" w:rsidRPr="00BF33C0">
        <w:rPr>
          <w:rFonts w:asciiTheme="minorHAnsi" w:hAnsiTheme="minorHAnsi" w:cstheme="minorHAnsi"/>
          <w:sz w:val="20"/>
          <w:szCs w:val="20"/>
        </w:rPr>
        <w:t xml:space="preserve"> Ltd</w:t>
      </w:r>
      <w:r w:rsidRPr="00BF33C0">
        <w:rPr>
          <w:rFonts w:asciiTheme="minorHAnsi" w:hAnsiTheme="minorHAnsi" w:cstheme="minorHAnsi"/>
          <w:sz w:val="20"/>
          <w:szCs w:val="20"/>
        </w:rPr>
        <w:t>. LUG S.A. od listopada 2007 roku jest</w:t>
      </w:r>
      <w:r w:rsidR="009457B5" w:rsidRPr="00BF33C0">
        <w:rPr>
          <w:rFonts w:asciiTheme="minorHAnsi" w:hAnsiTheme="minorHAnsi" w:cstheme="minorHAnsi"/>
          <w:sz w:val="20"/>
          <w:szCs w:val="20"/>
        </w:rPr>
        <w:t> </w:t>
      </w:r>
      <w:r w:rsidRPr="00BF33C0">
        <w:rPr>
          <w:rFonts w:asciiTheme="minorHAnsi" w:hAnsiTheme="minorHAnsi" w:cstheme="minorHAnsi"/>
          <w:sz w:val="20"/>
          <w:szCs w:val="20"/>
        </w:rPr>
        <w:t xml:space="preserve">notowana na rynku </w:t>
      </w:r>
      <w:proofErr w:type="spellStart"/>
      <w:r w:rsidRPr="00BF33C0">
        <w:rPr>
          <w:rFonts w:asciiTheme="minorHAnsi" w:hAnsiTheme="minorHAnsi" w:cstheme="minorHAnsi"/>
          <w:sz w:val="20"/>
          <w:szCs w:val="20"/>
        </w:rPr>
        <w:t>NewConnect</w:t>
      </w:r>
      <w:proofErr w:type="spellEnd"/>
      <w:r w:rsidRPr="00BF33C0">
        <w:rPr>
          <w:rFonts w:asciiTheme="minorHAnsi" w:hAnsiTheme="minorHAnsi" w:cstheme="minorHAnsi"/>
          <w:sz w:val="20"/>
          <w:szCs w:val="20"/>
        </w:rPr>
        <w:t xml:space="preserve"> zarządzanym przez warszawską GPW. Więcej informacji: </w:t>
      </w:r>
      <w:hyperlink r:id="rId8" w:history="1">
        <w:r w:rsidRPr="00BF33C0">
          <w:rPr>
            <w:rStyle w:val="Hipercze"/>
            <w:rFonts w:asciiTheme="minorHAnsi" w:hAnsiTheme="minorHAnsi" w:cstheme="minorHAnsi"/>
            <w:sz w:val="20"/>
            <w:szCs w:val="20"/>
          </w:rPr>
          <w:t>www.lug.com.pl</w:t>
        </w:r>
      </w:hyperlink>
    </w:p>
    <w:p w14:paraId="34CDC561" w14:textId="65EFCD00" w:rsidR="00C201A7" w:rsidRPr="00BF33C0" w:rsidRDefault="00C201A7" w:rsidP="00BF33C0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985A08" w14:textId="77777777" w:rsidR="00C201A7" w:rsidRPr="00BF33C0" w:rsidRDefault="00C201A7" w:rsidP="00BF33C0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065F778" w14:textId="29A8EF7C" w:rsidR="00D45343" w:rsidRPr="00BF33C0" w:rsidRDefault="00D45343" w:rsidP="00BF33C0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BF33C0">
        <w:rPr>
          <w:rFonts w:asciiTheme="minorHAnsi" w:hAnsiTheme="minorHAnsi" w:cstheme="minorHAnsi"/>
          <w:sz w:val="20"/>
          <w:szCs w:val="20"/>
          <w:u w:val="single"/>
        </w:rPr>
        <w:t>Kontakt dla mediów:</w:t>
      </w:r>
    </w:p>
    <w:p w14:paraId="22D38007" w14:textId="77777777" w:rsidR="00D45343" w:rsidRPr="00BF33C0" w:rsidRDefault="00D45343" w:rsidP="00BF33C0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5E6F54F9" w14:textId="77777777" w:rsidR="00C201A7" w:rsidRPr="00BF33C0" w:rsidRDefault="00D45343" w:rsidP="00BF33C0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sz w:val="20"/>
          <w:szCs w:val="20"/>
        </w:rPr>
      </w:pPr>
      <w:r w:rsidRPr="00BF33C0">
        <w:rPr>
          <w:rFonts w:asciiTheme="minorHAnsi" w:hAnsiTheme="minorHAnsi" w:cstheme="minorHAnsi"/>
          <w:b/>
          <w:bCs/>
          <w:sz w:val="20"/>
          <w:szCs w:val="20"/>
        </w:rPr>
        <w:t>Monika Bartoszak</w:t>
      </w:r>
      <w:r w:rsidR="00C201A7" w:rsidRPr="00BF33C0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BF33C0">
        <w:rPr>
          <w:rFonts w:asciiTheme="minorHAnsi" w:hAnsiTheme="minorHAnsi" w:cstheme="minorHAnsi"/>
          <w:sz w:val="20"/>
          <w:szCs w:val="20"/>
        </w:rPr>
        <w:t>Dyrektor Biura Zarządu i Komunikacj</w:t>
      </w:r>
      <w:r w:rsidR="00C201A7" w:rsidRPr="00BF33C0">
        <w:rPr>
          <w:rFonts w:asciiTheme="minorHAnsi" w:hAnsiTheme="minorHAnsi" w:cstheme="minorHAnsi"/>
          <w:sz w:val="20"/>
          <w:szCs w:val="20"/>
        </w:rPr>
        <w:t xml:space="preserve">i, tel. </w:t>
      </w:r>
      <w:r w:rsidRPr="00BF33C0">
        <w:rPr>
          <w:rFonts w:asciiTheme="minorHAnsi" w:hAnsiTheme="minorHAnsi" w:cstheme="minorHAnsi"/>
          <w:sz w:val="20"/>
          <w:szCs w:val="20"/>
        </w:rPr>
        <w:t>+48 510 183</w:t>
      </w:r>
      <w:r w:rsidR="00C201A7" w:rsidRPr="00BF33C0">
        <w:rPr>
          <w:rFonts w:asciiTheme="minorHAnsi" w:hAnsiTheme="minorHAnsi" w:cstheme="minorHAnsi"/>
          <w:sz w:val="20"/>
          <w:szCs w:val="20"/>
        </w:rPr>
        <w:t> </w:t>
      </w:r>
      <w:r w:rsidRPr="00BF33C0">
        <w:rPr>
          <w:rFonts w:asciiTheme="minorHAnsi" w:hAnsiTheme="minorHAnsi" w:cstheme="minorHAnsi"/>
          <w:sz w:val="20"/>
          <w:szCs w:val="20"/>
        </w:rPr>
        <w:t>993</w:t>
      </w:r>
      <w:r w:rsidR="00C201A7" w:rsidRPr="00BF33C0">
        <w:rPr>
          <w:rFonts w:asciiTheme="minorHAnsi" w:hAnsiTheme="minorHAnsi" w:cstheme="minorHAnsi"/>
          <w:sz w:val="20"/>
          <w:szCs w:val="20"/>
        </w:rPr>
        <w:t>, e-mail:</w:t>
      </w:r>
      <w:r w:rsidRPr="00BF33C0">
        <w:rPr>
          <w:rFonts w:asciiTheme="minorHAnsi" w:hAnsiTheme="minorHAnsi" w:cstheme="minorHAnsi"/>
          <w:sz w:val="20"/>
          <w:szCs w:val="20"/>
        </w:rPr>
        <w:tab/>
      </w:r>
      <w:hyperlink r:id="rId9" w:history="1">
        <w:r w:rsidR="00C201A7" w:rsidRPr="00BF33C0">
          <w:rPr>
            <w:rStyle w:val="Hipercze"/>
            <w:rFonts w:asciiTheme="minorHAnsi" w:hAnsiTheme="minorHAnsi" w:cstheme="minorHAnsi"/>
            <w:sz w:val="20"/>
            <w:szCs w:val="20"/>
          </w:rPr>
          <w:t>monika.bartoszak@lug.com.pl</w:t>
        </w:r>
      </w:hyperlink>
    </w:p>
    <w:p w14:paraId="6443D320" w14:textId="38479226" w:rsidR="00D45343" w:rsidRPr="00F93B97" w:rsidRDefault="00C201A7" w:rsidP="00BF33C0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sz w:val="20"/>
          <w:szCs w:val="20"/>
          <w:lang w:val="fr-FR"/>
        </w:rPr>
      </w:pPr>
      <w:r w:rsidRPr="00BF33C0">
        <w:rPr>
          <w:rFonts w:asciiTheme="minorHAnsi" w:hAnsiTheme="minorHAnsi" w:cstheme="minorHAnsi"/>
          <w:b/>
          <w:bCs/>
          <w:sz w:val="20"/>
          <w:szCs w:val="20"/>
        </w:rPr>
        <w:t>Kamila Górczyńska</w:t>
      </w:r>
      <w:r w:rsidR="00273AB8" w:rsidRPr="00BF33C0">
        <w:rPr>
          <w:rFonts w:asciiTheme="minorHAnsi" w:hAnsiTheme="minorHAnsi" w:cstheme="minorHAnsi"/>
          <w:b/>
          <w:bCs/>
          <w:sz w:val="20"/>
          <w:szCs w:val="20"/>
        </w:rPr>
        <w:t>-</w:t>
      </w:r>
      <w:proofErr w:type="spellStart"/>
      <w:r w:rsidR="00273AB8" w:rsidRPr="00BF33C0">
        <w:rPr>
          <w:rFonts w:asciiTheme="minorHAnsi" w:hAnsiTheme="minorHAnsi" w:cstheme="minorHAnsi"/>
          <w:b/>
          <w:bCs/>
          <w:sz w:val="20"/>
          <w:szCs w:val="20"/>
        </w:rPr>
        <w:t>Żyżkowska</w:t>
      </w:r>
      <w:proofErr w:type="spellEnd"/>
      <w:r w:rsidRPr="00BF33C0">
        <w:rPr>
          <w:rFonts w:asciiTheme="minorHAnsi" w:hAnsiTheme="minorHAnsi" w:cstheme="minorHAnsi"/>
          <w:sz w:val="20"/>
          <w:szCs w:val="20"/>
        </w:rPr>
        <w:t xml:space="preserve">, In </w:t>
      </w:r>
      <w:proofErr w:type="spellStart"/>
      <w:r w:rsidRPr="00BF33C0">
        <w:rPr>
          <w:rFonts w:asciiTheme="minorHAnsi" w:hAnsiTheme="minorHAnsi" w:cstheme="minorHAnsi"/>
          <w:sz w:val="20"/>
          <w:szCs w:val="20"/>
        </w:rPr>
        <w:t>Touch</w:t>
      </w:r>
      <w:proofErr w:type="spellEnd"/>
      <w:r w:rsidRPr="00BF33C0">
        <w:rPr>
          <w:rFonts w:asciiTheme="minorHAnsi" w:hAnsiTheme="minorHAnsi" w:cstheme="minorHAnsi"/>
          <w:sz w:val="20"/>
          <w:szCs w:val="20"/>
        </w:rPr>
        <w:t xml:space="preserve">, tel. </w:t>
      </w:r>
      <w:r w:rsidRPr="00F93B97">
        <w:rPr>
          <w:rFonts w:asciiTheme="minorHAnsi" w:hAnsiTheme="minorHAnsi" w:cstheme="minorHAnsi"/>
          <w:sz w:val="20"/>
          <w:szCs w:val="20"/>
          <w:lang w:val="fr-FR"/>
        </w:rPr>
        <w:t xml:space="preserve">+48 601 805 484, e-mail: </w:t>
      </w:r>
      <w:hyperlink r:id="rId10" w:history="1">
        <w:r w:rsidRPr="00F93B97">
          <w:rPr>
            <w:rStyle w:val="Hipercze"/>
            <w:rFonts w:asciiTheme="minorHAnsi" w:hAnsiTheme="minorHAnsi" w:cstheme="minorHAnsi"/>
            <w:sz w:val="20"/>
            <w:szCs w:val="20"/>
            <w:lang w:val="fr-FR"/>
          </w:rPr>
          <w:t>kamila.zyzkowska@intouchpr.pl</w:t>
        </w:r>
      </w:hyperlink>
      <w:r w:rsidR="00D45343" w:rsidRPr="00F93B97">
        <w:rPr>
          <w:rFonts w:asciiTheme="minorHAnsi" w:hAnsiTheme="minorHAnsi" w:cstheme="minorHAnsi"/>
          <w:sz w:val="20"/>
          <w:szCs w:val="20"/>
          <w:lang w:val="fr-FR"/>
        </w:rPr>
        <w:tab/>
      </w:r>
      <w:r w:rsidR="00D45343" w:rsidRPr="00F93B97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55F49D95" w14:textId="77777777" w:rsidR="002A2736" w:rsidRPr="00F93B97" w:rsidRDefault="002A2736" w:rsidP="00BF33C0">
      <w:pPr>
        <w:spacing w:line="276" w:lineRule="auto"/>
        <w:rPr>
          <w:rFonts w:asciiTheme="minorHAnsi" w:hAnsiTheme="minorHAnsi" w:cstheme="minorHAnsi"/>
          <w:sz w:val="20"/>
          <w:szCs w:val="20"/>
          <w:lang w:val="fr-FR"/>
        </w:rPr>
      </w:pPr>
    </w:p>
    <w:sectPr w:rsidR="002A2736" w:rsidRPr="00F93B97" w:rsidSect="0012404D">
      <w:headerReference w:type="default" r:id="rId11"/>
      <w:footerReference w:type="default" r:id="rId12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DE0C" w14:textId="77777777" w:rsidR="009A06E2" w:rsidRDefault="009A06E2">
      <w:r>
        <w:separator/>
      </w:r>
    </w:p>
  </w:endnote>
  <w:endnote w:type="continuationSeparator" w:id="0">
    <w:p w14:paraId="3A77A134" w14:textId="77777777" w:rsidR="009A06E2" w:rsidRDefault="009A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68B7A" w14:textId="77777777" w:rsidR="009A06E2" w:rsidRDefault="009A06E2">
      <w:r>
        <w:separator/>
      </w:r>
    </w:p>
  </w:footnote>
  <w:footnote w:type="continuationSeparator" w:id="0">
    <w:p w14:paraId="09AF7AD0" w14:textId="77777777" w:rsidR="009A06E2" w:rsidRDefault="009A06E2">
      <w:r>
        <w:continuationSeparator/>
      </w:r>
    </w:p>
  </w:footnote>
  <w:footnote w:id="1">
    <w:p w14:paraId="56DD8358" w14:textId="7732D2A6" w:rsidR="00BF33C0" w:rsidRPr="00BF33C0" w:rsidRDefault="00BF33C0" w:rsidP="00BF33C0">
      <w:pPr>
        <w:rPr>
          <w:rFonts w:asciiTheme="minorHAnsi" w:hAnsiTheme="minorHAnsi"/>
          <w:sz w:val="20"/>
          <w:szCs w:val="20"/>
        </w:rPr>
      </w:pPr>
      <w:r w:rsidRPr="00BF33C0">
        <w:rPr>
          <w:rFonts w:asciiTheme="minorHAnsi" w:hAnsiTheme="minorHAnsi"/>
          <w:sz w:val="20"/>
          <w:szCs w:val="20"/>
          <w:vertAlign w:val="superscript"/>
        </w:rPr>
        <w:footnoteRef/>
      </w:r>
      <w:r w:rsidRPr="00BF33C0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Pr="00BF33C0">
        <w:rPr>
          <w:rFonts w:asciiTheme="minorHAnsi" w:hAnsiTheme="minorHAnsi"/>
          <w:sz w:val="20"/>
          <w:szCs w:val="20"/>
        </w:rPr>
        <w:t>Źródło: Blokada Kanału Sueskiego pogłębi ogromne problemy transportu w czasie pandemii</w:t>
      </w:r>
      <w:r>
        <w:rPr>
          <w:rFonts w:asciiTheme="minorHAnsi" w:hAnsiTheme="minorHAnsi"/>
          <w:sz w:val="20"/>
          <w:szCs w:val="20"/>
        </w:rPr>
        <w:t xml:space="preserve">, Forsal.pl, 26 marca 2021 r. </w:t>
      </w:r>
    </w:p>
    <w:p w14:paraId="780DAF69" w14:textId="73C818E5" w:rsidR="00BF33C0" w:rsidRDefault="00BF33C0" w:rsidP="00BF33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76A"/>
    <w:multiLevelType w:val="hybridMultilevel"/>
    <w:tmpl w:val="0194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8C90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0B57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48A7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2B91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2706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6389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0E56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04A0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805F0"/>
    <w:multiLevelType w:val="hybridMultilevel"/>
    <w:tmpl w:val="F4BA44B0"/>
    <w:lvl w:ilvl="0" w:tplc="8ABCB7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676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7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ECE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CE4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645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2B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34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86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F110B"/>
    <w:multiLevelType w:val="hybridMultilevel"/>
    <w:tmpl w:val="1D1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BA62BC"/>
    <w:multiLevelType w:val="hybridMultilevel"/>
    <w:tmpl w:val="2B18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615C8"/>
    <w:multiLevelType w:val="hybridMultilevel"/>
    <w:tmpl w:val="B49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21D03"/>
    <w:multiLevelType w:val="hybridMultilevel"/>
    <w:tmpl w:val="4D1C99A0"/>
    <w:lvl w:ilvl="0" w:tplc="1722BF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9D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E05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DF7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005B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E76A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012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673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B2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0"/>
  </w:num>
  <w:num w:numId="4">
    <w:abstractNumId w:val="15"/>
  </w:num>
  <w:num w:numId="5">
    <w:abstractNumId w:val="10"/>
  </w:num>
  <w:num w:numId="6">
    <w:abstractNumId w:val="12"/>
  </w:num>
  <w:num w:numId="7">
    <w:abstractNumId w:val="4"/>
  </w:num>
  <w:num w:numId="8">
    <w:abstractNumId w:val="20"/>
  </w:num>
  <w:num w:numId="9">
    <w:abstractNumId w:val="16"/>
  </w:num>
  <w:num w:numId="10">
    <w:abstractNumId w:val="5"/>
  </w:num>
  <w:num w:numId="11">
    <w:abstractNumId w:val="21"/>
  </w:num>
  <w:num w:numId="12">
    <w:abstractNumId w:val="14"/>
  </w:num>
  <w:num w:numId="13">
    <w:abstractNumId w:val="2"/>
  </w:num>
  <w:num w:numId="14">
    <w:abstractNumId w:val="3"/>
  </w:num>
  <w:num w:numId="15">
    <w:abstractNumId w:val="9"/>
  </w:num>
  <w:num w:numId="16">
    <w:abstractNumId w:val="8"/>
  </w:num>
  <w:num w:numId="17">
    <w:abstractNumId w:val="18"/>
  </w:num>
  <w:num w:numId="18">
    <w:abstractNumId w:val="6"/>
  </w:num>
  <w:num w:numId="19">
    <w:abstractNumId w:val="17"/>
  </w:num>
  <w:num w:numId="20">
    <w:abstractNumId w:val="13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13146"/>
    <w:rsid w:val="0003379D"/>
    <w:rsid w:val="0003580C"/>
    <w:rsid w:val="00041B56"/>
    <w:rsid w:val="00054F99"/>
    <w:rsid w:val="000559BD"/>
    <w:rsid w:val="00056C5A"/>
    <w:rsid w:val="000611A8"/>
    <w:rsid w:val="00064003"/>
    <w:rsid w:val="00072A1C"/>
    <w:rsid w:val="00074DD0"/>
    <w:rsid w:val="000821FE"/>
    <w:rsid w:val="00090935"/>
    <w:rsid w:val="0009278B"/>
    <w:rsid w:val="00094F3E"/>
    <w:rsid w:val="000A0439"/>
    <w:rsid w:val="000D23A8"/>
    <w:rsid w:val="000F5108"/>
    <w:rsid w:val="001000FF"/>
    <w:rsid w:val="00111D1A"/>
    <w:rsid w:val="00111E31"/>
    <w:rsid w:val="00122D1E"/>
    <w:rsid w:val="0012404D"/>
    <w:rsid w:val="00132B2A"/>
    <w:rsid w:val="00135CC2"/>
    <w:rsid w:val="0013764C"/>
    <w:rsid w:val="001413BC"/>
    <w:rsid w:val="00145140"/>
    <w:rsid w:val="00150D07"/>
    <w:rsid w:val="00161624"/>
    <w:rsid w:val="00170496"/>
    <w:rsid w:val="00173A9D"/>
    <w:rsid w:val="001776C6"/>
    <w:rsid w:val="00180BD6"/>
    <w:rsid w:val="001857FF"/>
    <w:rsid w:val="001A67D8"/>
    <w:rsid w:val="001C033C"/>
    <w:rsid w:val="001C2687"/>
    <w:rsid w:val="001D57A4"/>
    <w:rsid w:val="001E0146"/>
    <w:rsid w:val="001E130C"/>
    <w:rsid w:val="001E6AC9"/>
    <w:rsid w:val="001F19AC"/>
    <w:rsid w:val="001F6867"/>
    <w:rsid w:val="00201493"/>
    <w:rsid w:val="00214312"/>
    <w:rsid w:val="00214C2B"/>
    <w:rsid w:val="002164ED"/>
    <w:rsid w:val="00220A66"/>
    <w:rsid w:val="0024624B"/>
    <w:rsid w:val="002551BF"/>
    <w:rsid w:val="0025763E"/>
    <w:rsid w:val="00260062"/>
    <w:rsid w:val="0026580B"/>
    <w:rsid w:val="002732FB"/>
    <w:rsid w:val="00273AB8"/>
    <w:rsid w:val="00280B48"/>
    <w:rsid w:val="00284FD0"/>
    <w:rsid w:val="00294DAF"/>
    <w:rsid w:val="002A2736"/>
    <w:rsid w:val="002A4B7D"/>
    <w:rsid w:val="002B3947"/>
    <w:rsid w:val="002B6D6B"/>
    <w:rsid w:val="002C06E9"/>
    <w:rsid w:val="002C2136"/>
    <w:rsid w:val="002D4249"/>
    <w:rsid w:val="002D5E50"/>
    <w:rsid w:val="002D67CE"/>
    <w:rsid w:val="002D68B3"/>
    <w:rsid w:val="002D6FFB"/>
    <w:rsid w:val="002E3000"/>
    <w:rsid w:val="002E46BF"/>
    <w:rsid w:val="002F6F45"/>
    <w:rsid w:val="00317439"/>
    <w:rsid w:val="00323A67"/>
    <w:rsid w:val="00332B11"/>
    <w:rsid w:val="00336495"/>
    <w:rsid w:val="00343D7F"/>
    <w:rsid w:val="00346839"/>
    <w:rsid w:val="0035449F"/>
    <w:rsid w:val="0036587D"/>
    <w:rsid w:val="00375386"/>
    <w:rsid w:val="00384B23"/>
    <w:rsid w:val="00385BCA"/>
    <w:rsid w:val="003867A6"/>
    <w:rsid w:val="0039083E"/>
    <w:rsid w:val="003924EA"/>
    <w:rsid w:val="00394C24"/>
    <w:rsid w:val="00396023"/>
    <w:rsid w:val="003B575E"/>
    <w:rsid w:val="004010D6"/>
    <w:rsid w:val="00406C90"/>
    <w:rsid w:val="00420541"/>
    <w:rsid w:val="0043766E"/>
    <w:rsid w:val="00441DBD"/>
    <w:rsid w:val="00456963"/>
    <w:rsid w:val="00477560"/>
    <w:rsid w:val="00480DA5"/>
    <w:rsid w:val="004816EA"/>
    <w:rsid w:val="00492A53"/>
    <w:rsid w:val="004A0C31"/>
    <w:rsid w:val="004B562C"/>
    <w:rsid w:val="004B74DD"/>
    <w:rsid w:val="004C40D3"/>
    <w:rsid w:val="004C4931"/>
    <w:rsid w:val="004D54DF"/>
    <w:rsid w:val="004E6401"/>
    <w:rsid w:val="004F28D6"/>
    <w:rsid w:val="004F3CE3"/>
    <w:rsid w:val="00501B4A"/>
    <w:rsid w:val="00505C35"/>
    <w:rsid w:val="00513052"/>
    <w:rsid w:val="00527582"/>
    <w:rsid w:val="00531831"/>
    <w:rsid w:val="00544BF7"/>
    <w:rsid w:val="00553D0F"/>
    <w:rsid w:val="00553F98"/>
    <w:rsid w:val="00555941"/>
    <w:rsid w:val="00556C77"/>
    <w:rsid w:val="00566BBA"/>
    <w:rsid w:val="00570609"/>
    <w:rsid w:val="00574169"/>
    <w:rsid w:val="005754ED"/>
    <w:rsid w:val="00586E07"/>
    <w:rsid w:val="005926C6"/>
    <w:rsid w:val="005A3D71"/>
    <w:rsid w:val="005B1722"/>
    <w:rsid w:val="005C389E"/>
    <w:rsid w:val="005E7A6A"/>
    <w:rsid w:val="005F76FD"/>
    <w:rsid w:val="00600CF7"/>
    <w:rsid w:val="00603F87"/>
    <w:rsid w:val="00622426"/>
    <w:rsid w:val="006268D7"/>
    <w:rsid w:val="00642DB5"/>
    <w:rsid w:val="00643A5D"/>
    <w:rsid w:val="00645692"/>
    <w:rsid w:val="00653355"/>
    <w:rsid w:val="00655B2F"/>
    <w:rsid w:val="00657990"/>
    <w:rsid w:val="006628B0"/>
    <w:rsid w:val="00672866"/>
    <w:rsid w:val="006901B2"/>
    <w:rsid w:val="006945E8"/>
    <w:rsid w:val="006A1FEB"/>
    <w:rsid w:val="006A44D3"/>
    <w:rsid w:val="006A7553"/>
    <w:rsid w:val="006B4788"/>
    <w:rsid w:val="006C0F43"/>
    <w:rsid w:val="006C2CB0"/>
    <w:rsid w:val="006D0543"/>
    <w:rsid w:val="006D1F0D"/>
    <w:rsid w:val="006E6939"/>
    <w:rsid w:val="006E792E"/>
    <w:rsid w:val="006E7A6D"/>
    <w:rsid w:val="006F4451"/>
    <w:rsid w:val="006F7818"/>
    <w:rsid w:val="00704A75"/>
    <w:rsid w:val="0070619B"/>
    <w:rsid w:val="00711058"/>
    <w:rsid w:val="00732851"/>
    <w:rsid w:val="007437B3"/>
    <w:rsid w:val="00746442"/>
    <w:rsid w:val="007518F1"/>
    <w:rsid w:val="007531E0"/>
    <w:rsid w:val="007636FB"/>
    <w:rsid w:val="00765FB2"/>
    <w:rsid w:val="00767BA7"/>
    <w:rsid w:val="007749D8"/>
    <w:rsid w:val="00776828"/>
    <w:rsid w:val="00781648"/>
    <w:rsid w:val="007852CD"/>
    <w:rsid w:val="007858B1"/>
    <w:rsid w:val="007A2D9D"/>
    <w:rsid w:val="007B1CD6"/>
    <w:rsid w:val="007B53F8"/>
    <w:rsid w:val="007C4322"/>
    <w:rsid w:val="007C43D9"/>
    <w:rsid w:val="007E5991"/>
    <w:rsid w:val="007F0798"/>
    <w:rsid w:val="007F0BFC"/>
    <w:rsid w:val="007F0CFA"/>
    <w:rsid w:val="007F1608"/>
    <w:rsid w:val="007F2E15"/>
    <w:rsid w:val="007F4334"/>
    <w:rsid w:val="00804AAC"/>
    <w:rsid w:val="0080622F"/>
    <w:rsid w:val="00810E7E"/>
    <w:rsid w:val="008134C9"/>
    <w:rsid w:val="00813A55"/>
    <w:rsid w:val="0081679B"/>
    <w:rsid w:val="00826DB1"/>
    <w:rsid w:val="0083292C"/>
    <w:rsid w:val="00842080"/>
    <w:rsid w:val="00850E4C"/>
    <w:rsid w:val="00861805"/>
    <w:rsid w:val="0086504F"/>
    <w:rsid w:val="00870E91"/>
    <w:rsid w:val="00871724"/>
    <w:rsid w:val="00872D84"/>
    <w:rsid w:val="00882D71"/>
    <w:rsid w:val="008832A9"/>
    <w:rsid w:val="00883D76"/>
    <w:rsid w:val="008850B7"/>
    <w:rsid w:val="008926E6"/>
    <w:rsid w:val="0089387B"/>
    <w:rsid w:val="008A3467"/>
    <w:rsid w:val="008B7ACE"/>
    <w:rsid w:val="008C71A3"/>
    <w:rsid w:val="008D0694"/>
    <w:rsid w:val="008D574B"/>
    <w:rsid w:val="008E1635"/>
    <w:rsid w:val="008E4CFA"/>
    <w:rsid w:val="00901B6E"/>
    <w:rsid w:val="00903370"/>
    <w:rsid w:val="009127BF"/>
    <w:rsid w:val="00914DB9"/>
    <w:rsid w:val="0092679B"/>
    <w:rsid w:val="009315E1"/>
    <w:rsid w:val="00935C9B"/>
    <w:rsid w:val="009457B5"/>
    <w:rsid w:val="00955FB9"/>
    <w:rsid w:val="0097462B"/>
    <w:rsid w:val="009753E7"/>
    <w:rsid w:val="0099575A"/>
    <w:rsid w:val="009A06E2"/>
    <w:rsid w:val="009B4120"/>
    <w:rsid w:val="009B4A99"/>
    <w:rsid w:val="009C0E80"/>
    <w:rsid w:val="009C278E"/>
    <w:rsid w:val="009C4BEF"/>
    <w:rsid w:val="009D3845"/>
    <w:rsid w:val="009F3B14"/>
    <w:rsid w:val="009F5288"/>
    <w:rsid w:val="00A0186C"/>
    <w:rsid w:val="00A03E4E"/>
    <w:rsid w:val="00A04BDA"/>
    <w:rsid w:val="00A119BA"/>
    <w:rsid w:val="00A22730"/>
    <w:rsid w:val="00A2312C"/>
    <w:rsid w:val="00A3323B"/>
    <w:rsid w:val="00A363B5"/>
    <w:rsid w:val="00A83E2A"/>
    <w:rsid w:val="00A955BD"/>
    <w:rsid w:val="00A96C16"/>
    <w:rsid w:val="00AB14B5"/>
    <w:rsid w:val="00AB2089"/>
    <w:rsid w:val="00AC77CB"/>
    <w:rsid w:val="00AE457F"/>
    <w:rsid w:val="00AF17D8"/>
    <w:rsid w:val="00AF1E57"/>
    <w:rsid w:val="00AF2057"/>
    <w:rsid w:val="00B07781"/>
    <w:rsid w:val="00B07AB3"/>
    <w:rsid w:val="00B20FDC"/>
    <w:rsid w:val="00B26A14"/>
    <w:rsid w:val="00B30281"/>
    <w:rsid w:val="00B340D3"/>
    <w:rsid w:val="00B47D9A"/>
    <w:rsid w:val="00B77EA1"/>
    <w:rsid w:val="00B804E2"/>
    <w:rsid w:val="00B80F6C"/>
    <w:rsid w:val="00B84549"/>
    <w:rsid w:val="00B931C1"/>
    <w:rsid w:val="00B93BD2"/>
    <w:rsid w:val="00BA4A95"/>
    <w:rsid w:val="00BA65A8"/>
    <w:rsid w:val="00BA78D2"/>
    <w:rsid w:val="00BB0F33"/>
    <w:rsid w:val="00BB3387"/>
    <w:rsid w:val="00BB566E"/>
    <w:rsid w:val="00BC0E73"/>
    <w:rsid w:val="00BC2308"/>
    <w:rsid w:val="00BC263F"/>
    <w:rsid w:val="00BC2F65"/>
    <w:rsid w:val="00BC415F"/>
    <w:rsid w:val="00BD2C71"/>
    <w:rsid w:val="00BD332A"/>
    <w:rsid w:val="00BE30E4"/>
    <w:rsid w:val="00BE69CA"/>
    <w:rsid w:val="00BF114C"/>
    <w:rsid w:val="00BF33C0"/>
    <w:rsid w:val="00C01B57"/>
    <w:rsid w:val="00C0287F"/>
    <w:rsid w:val="00C05A86"/>
    <w:rsid w:val="00C06221"/>
    <w:rsid w:val="00C10246"/>
    <w:rsid w:val="00C11D13"/>
    <w:rsid w:val="00C124E6"/>
    <w:rsid w:val="00C1452A"/>
    <w:rsid w:val="00C201A7"/>
    <w:rsid w:val="00C40EB0"/>
    <w:rsid w:val="00C45440"/>
    <w:rsid w:val="00C474D8"/>
    <w:rsid w:val="00C53545"/>
    <w:rsid w:val="00C53C00"/>
    <w:rsid w:val="00C55A35"/>
    <w:rsid w:val="00C61C4A"/>
    <w:rsid w:val="00C6317B"/>
    <w:rsid w:val="00C65E50"/>
    <w:rsid w:val="00C73AF9"/>
    <w:rsid w:val="00C74955"/>
    <w:rsid w:val="00C74979"/>
    <w:rsid w:val="00C85070"/>
    <w:rsid w:val="00C971F1"/>
    <w:rsid w:val="00CB26B0"/>
    <w:rsid w:val="00CE0F3D"/>
    <w:rsid w:val="00CE6E37"/>
    <w:rsid w:val="00CF7071"/>
    <w:rsid w:val="00D06519"/>
    <w:rsid w:val="00D16C3B"/>
    <w:rsid w:val="00D226E8"/>
    <w:rsid w:val="00D25C4C"/>
    <w:rsid w:val="00D26087"/>
    <w:rsid w:val="00D27185"/>
    <w:rsid w:val="00D3787A"/>
    <w:rsid w:val="00D444D8"/>
    <w:rsid w:val="00D45343"/>
    <w:rsid w:val="00D53F5D"/>
    <w:rsid w:val="00D54FE9"/>
    <w:rsid w:val="00D55138"/>
    <w:rsid w:val="00D5748E"/>
    <w:rsid w:val="00D60ADA"/>
    <w:rsid w:val="00D72456"/>
    <w:rsid w:val="00D7746C"/>
    <w:rsid w:val="00D823E0"/>
    <w:rsid w:val="00DB10A1"/>
    <w:rsid w:val="00DC44E0"/>
    <w:rsid w:val="00DD0310"/>
    <w:rsid w:val="00DD4A88"/>
    <w:rsid w:val="00DD5B6E"/>
    <w:rsid w:val="00DE6DB2"/>
    <w:rsid w:val="00DF2807"/>
    <w:rsid w:val="00DF619D"/>
    <w:rsid w:val="00E01ED8"/>
    <w:rsid w:val="00E04CE8"/>
    <w:rsid w:val="00E05EEB"/>
    <w:rsid w:val="00E1533C"/>
    <w:rsid w:val="00E23EB3"/>
    <w:rsid w:val="00E46A59"/>
    <w:rsid w:val="00E46CE2"/>
    <w:rsid w:val="00E53508"/>
    <w:rsid w:val="00E72999"/>
    <w:rsid w:val="00E763D9"/>
    <w:rsid w:val="00E86618"/>
    <w:rsid w:val="00E93A15"/>
    <w:rsid w:val="00E94076"/>
    <w:rsid w:val="00ED0135"/>
    <w:rsid w:val="00EE3DB7"/>
    <w:rsid w:val="00EE677D"/>
    <w:rsid w:val="00F15206"/>
    <w:rsid w:val="00F15D7C"/>
    <w:rsid w:val="00F21B54"/>
    <w:rsid w:val="00F21EB2"/>
    <w:rsid w:val="00F35979"/>
    <w:rsid w:val="00F412AF"/>
    <w:rsid w:val="00F43E13"/>
    <w:rsid w:val="00F444DA"/>
    <w:rsid w:val="00F45096"/>
    <w:rsid w:val="00F50051"/>
    <w:rsid w:val="00F60E1E"/>
    <w:rsid w:val="00F6735E"/>
    <w:rsid w:val="00F82806"/>
    <w:rsid w:val="00F92D78"/>
    <w:rsid w:val="00F93AB1"/>
    <w:rsid w:val="00F93B97"/>
    <w:rsid w:val="00FA0894"/>
    <w:rsid w:val="00FB4E85"/>
    <w:rsid w:val="00FC2538"/>
    <w:rsid w:val="00FE2FAB"/>
    <w:rsid w:val="00FE66DA"/>
    <w:rsid w:val="00FF447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semiHidden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character" w:customStyle="1" w:styleId="rednialista2akcent4Znak">
    <w:name w:val="Średnia lista 2 — akcent 4 Znak"/>
    <w:uiPriority w:val="34"/>
    <w:locked/>
    <w:rsid w:val="002E300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mila.zyzkowska@intouch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bartoszak@lug.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A50FC-70F8-4F98-96E1-C987396B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856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6102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7</cp:revision>
  <cp:lastPrinted>2021-05-07T09:59:00Z</cp:lastPrinted>
  <dcterms:created xsi:type="dcterms:W3CDTF">2021-05-07T06:54:00Z</dcterms:created>
  <dcterms:modified xsi:type="dcterms:W3CDTF">2021-05-07T11:04:00Z</dcterms:modified>
</cp:coreProperties>
</file>