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056C5A" w:rsidRDefault="00FF447F" w:rsidP="00056C5A">
      <w:pPr>
        <w:jc w:val="right"/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056C5A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 </w:t>
      </w:r>
      <w:r w:rsidR="00A0186C" w:rsidRPr="00056C5A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Informacja prasowa</w:t>
      </w:r>
    </w:p>
    <w:p w14:paraId="7D7B70B0" w14:textId="708E2C07" w:rsidR="00A0186C" w:rsidRPr="00056C5A" w:rsidRDefault="003867A6" w:rsidP="00056C5A">
      <w:pPr>
        <w:jc w:val="right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>11</w:t>
      </w:r>
      <w:r w:rsidR="001776C6" w:rsidRPr="00056C5A">
        <w:rPr>
          <w:rFonts w:asciiTheme="minorHAnsi" w:hAnsiTheme="minorHAnsi" w:cstheme="minorHAnsi"/>
          <w:sz w:val="20"/>
          <w:szCs w:val="20"/>
        </w:rPr>
        <w:t>.</w:t>
      </w:r>
      <w:r w:rsidRPr="00056C5A">
        <w:rPr>
          <w:rFonts w:asciiTheme="minorHAnsi" w:hAnsiTheme="minorHAnsi" w:cstheme="minorHAnsi"/>
          <w:sz w:val="20"/>
          <w:szCs w:val="20"/>
        </w:rPr>
        <w:t>01</w:t>
      </w:r>
      <w:r w:rsidR="00A0186C" w:rsidRPr="00056C5A">
        <w:rPr>
          <w:rFonts w:asciiTheme="minorHAnsi" w:hAnsiTheme="minorHAnsi" w:cstheme="minorHAnsi"/>
          <w:sz w:val="20"/>
          <w:szCs w:val="20"/>
        </w:rPr>
        <w:t>.20</w:t>
      </w:r>
      <w:r w:rsidR="0003379D" w:rsidRPr="00056C5A">
        <w:rPr>
          <w:rFonts w:asciiTheme="minorHAnsi" w:hAnsiTheme="minorHAnsi" w:cstheme="minorHAnsi"/>
          <w:sz w:val="20"/>
          <w:szCs w:val="20"/>
        </w:rPr>
        <w:t>2</w:t>
      </w:r>
      <w:r w:rsidRPr="00056C5A">
        <w:rPr>
          <w:rFonts w:asciiTheme="minorHAnsi" w:hAnsiTheme="minorHAnsi" w:cstheme="minorHAnsi"/>
          <w:sz w:val="20"/>
          <w:szCs w:val="20"/>
        </w:rPr>
        <w:t>1</w:t>
      </w:r>
      <w:r w:rsidR="00A0186C" w:rsidRPr="00056C5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0ECDBE3" w14:textId="77777777" w:rsidR="00765FB2" w:rsidRPr="00056C5A" w:rsidRDefault="00765FB2" w:rsidP="00056C5A">
      <w:pPr>
        <w:rPr>
          <w:rFonts w:asciiTheme="minorHAnsi" w:hAnsiTheme="minorHAnsi" w:cstheme="minorHAnsi"/>
          <w:b/>
          <w:sz w:val="20"/>
          <w:szCs w:val="20"/>
        </w:rPr>
      </w:pPr>
    </w:p>
    <w:p w14:paraId="76C36331" w14:textId="2E97EC56" w:rsidR="00765FB2" w:rsidRPr="00A2312C" w:rsidRDefault="00765FB2" w:rsidP="00056C5A">
      <w:pPr>
        <w:rPr>
          <w:rFonts w:asciiTheme="minorHAnsi" w:hAnsiTheme="minorHAnsi" w:cstheme="minorHAnsi"/>
          <w:b/>
        </w:rPr>
      </w:pPr>
      <w:r w:rsidRPr="00A2312C">
        <w:rPr>
          <w:rFonts w:asciiTheme="minorHAnsi" w:hAnsiTheme="minorHAnsi" w:cstheme="minorHAnsi"/>
          <w:b/>
        </w:rPr>
        <w:t>LUG</w:t>
      </w:r>
      <w:r w:rsidR="002D67CE" w:rsidRPr="00A2312C">
        <w:rPr>
          <w:rFonts w:asciiTheme="minorHAnsi" w:hAnsiTheme="minorHAnsi" w:cstheme="minorHAnsi"/>
          <w:b/>
        </w:rPr>
        <w:t xml:space="preserve"> nie poddaje się pandemii - </w:t>
      </w:r>
      <w:r w:rsidR="00F43E13" w:rsidRPr="00A2312C">
        <w:rPr>
          <w:rFonts w:asciiTheme="minorHAnsi" w:hAnsiTheme="minorHAnsi" w:cstheme="minorHAnsi"/>
          <w:b/>
        </w:rPr>
        <w:t>nowy rok rozpoczyna od inwestycji.</w:t>
      </w:r>
    </w:p>
    <w:p w14:paraId="5092D28D" w14:textId="00D71A1B" w:rsidR="00BD332A" w:rsidRDefault="000F5108" w:rsidP="00056C5A">
      <w:pPr>
        <w:rPr>
          <w:rFonts w:asciiTheme="minorHAnsi" w:hAnsiTheme="minorHAnsi" w:cstheme="minorHAnsi"/>
          <w:b/>
        </w:rPr>
      </w:pPr>
      <w:r w:rsidRPr="00A2312C">
        <w:rPr>
          <w:rFonts w:asciiTheme="minorHAnsi" w:hAnsiTheme="minorHAnsi" w:cstheme="minorHAnsi"/>
          <w:b/>
        </w:rPr>
        <w:t xml:space="preserve">Grupa podsumowuje </w:t>
      </w:r>
      <w:r w:rsidR="00F35979" w:rsidRPr="00A2312C">
        <w:rPr>
          <w:rFonts w:asciiTheme="minorHAnsi" w:hAnsiTheme="minorHAnsi" w:cstheme="minorHAnsi"/>
          <w:b/>
        </w:rPr>
        <w:t>ostatni</w:t>
      </w:r>
      <w:r w:rsidR="00145140" w:rsidRPr="00A2312C">
        <w:rPr>
          <w:rFonts w:asciiTheme="minorHAnsi" w:hAnsiTheme="minorHAnsi" w:cstheme="minorHAnsi"/>
          <w:b/>
        </w:rPr>
        <w:t>ch</w:t>
      </w:r>
      <w:r w:rsidR="00F35979" w:rsidRPr="00A2312C">
        <w:rPr>
          <w:rFonts w:asciiTheme="minorHAnsi" w:hAnsiTheme="minorHAnsi" w:cstheme="minorHAnsi"/>
          <w:b/>
        </w:rPr>
        <w:t xml:space="preserve"> dwanaście miesięcy</w:t>
      </w:r>
      <w:r w:rsidR="0025763E" w:rsidRPr="00A2312C">
        <w:rPr>
          <w:rFonts w:asciiTheme="minorHAnsi" w:hAnsiTheme="minorHAnsi" w:cstheme="minorHAnsi"/>
          <w:b/>
        </w:rPr>
        <w:t xml:space="preserve">. </w:t>
      </w:r>
    </w:p>
    <w:p w14:paraId="57111EED" w14:textId="77777777" w:rsidR="00A2312C" w:rsidRPr="00A2312C" w:rsidRDefault="00A2312C" w:rsidP="00056C5A">
      <w:pPr>
        <w:rPr>
          <w:rFonts w:asciiTheme="minorHAnsi" w:hAnsiTheme="minorHAnsi" w:cstheme="minorHAnsi"/>
          <w:b/>
          <w:sz w:val="16"/>
          <w:szCs w:val="16"/>
        </w:rPr>
      </w:pPr>
    </w:p>
    <w:p w14:paraId="79B8EB57" w14:textId="77777777" w:rsidR="00E46A59" w:rsidRPr="00273AB8" w:rsidRDefault="00E46A59" w:rsidP="00056C5A">
      <w:pPr>
        <w:rPr>
          <w:rFonts w:asciiTheme="minorHAnsi" w:hAnsiTheme="minorHAnsi" w:cstheme="minorHAnsi"/>
          <w:b/>
          <w:sz w:val="14"/>
          <w:szCs w:val="14"/>
        </w:rPr>
      </w:pPr>
    </w:p>
    <w:p w14:paraId="5A0F6103" w14:textId="2BCA60F1" w:rsidR="00F43E13" w:rsidRDefault="00F43E13" w:rsidP="00056C5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Inwestycja 7,1</w:t>
      </w:r>
      <w:r w:rsidR="0057060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mln zł w rozbudowę fabryki w Nowym Kisielinie</w:t>
      </w:r>
    </w:p>
    <w:p w14:paraId="1BCBEFBD" w14:textId="7D2CF96A" w:rsidR="00E46A59" w:rsidRPr="00056C5A" w:rsidRDefault="002E46BF" w:rsidP="00056C5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Stabilne</w:t>
      </w:r>
      <w:r w:rsidR="00BD332A" w:rsidRPr="00056C5A">
        <w:rPr>
          <w:rFonts w:asciiTheme="minorHAnsi" w:hAnsiTheme="minorHAnsi" w:cstheme="minorHAnsi"/>
          <w:b/>
          <w:sz w:val="20"/>
          <w:szCs w:val="20"/>
        </w:rPr>
        <w:t xml:space="preserve"> wyniki finansowe </w:t>
      </w:r>
      <w:r w:rsidR="00642DB5">
        <w:rPr>
          <w:rFonts w:asciiTheme="minorHAnsi" w:hAnsiTheme="minorHAnsi" w:cstheme="minorHAnsi"/>
          <w:b/>
          <w:sz w:val="20"/>
          <w:szCs w:val="20"/>
        </w:rPr>
        <w:t xml:space="preserve">i wzrost udziału przychodów z eksportu do ponad 60% struktury sprzedaży </w:t>
      </w:r>
      <w:r w:rsidR="00BD332A" w:rsidRPr="00056C5A">
        <w:rPr>
          <w:rFonts w:asciiTheme="minorHAnsi" w:hAnsiTheme="minorHAnsi" w:cstheme="minorHAnsi"/>
          <w:b/>
          <w:sz w:val="20"/>
          <w:szCs w:val="20"/>
        </w:rPr>
        <w:t>przełożyły się na w</w:t>
      </w:r>
      <w:r w:rsidR="00E46A59" w:rsidRPr="00056C5A">
        <w:rPr>
          <w:rFonts w:asciiTheme="minorHAnsi" w:hAnsiTheme="minorHAnsi" w:cstheme="minorHAnsi"/>
          <w:b/>
          <w:sz w:val="20"/>
          <w:szCs w:val="20"/>
        </w:rPr>
        <w:t>zrost kursu</w:t>
      </w:r>
      <w:r w:rsidR="00F43E13">
        <w:rPr>
          <w:rFonts w:asciiTheme="minorHAnsi" w:hAnsiTheme="minorHAnsi" w:cstheme="minorHAnsi"/>
          <w:b/>
          <w:sz w:val="20"/>
          <w:szCs w:val="20"/>
        </w:rPr>
        <w:t xml:space="preserve"> akcji</w:t>
      </w:r>
      <w:r w:rsidR="00E46A59" w:rsidRPr="00056C5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w 2021 </w:t>
      </w:r>
      <w:r w:rsidR="00E46A59" w:rsidRPr="00056C5A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B26A14" w:rsidRPr="00056C5A">
        <w:rPr>
          <w:rFonts w:asciiTheme="minorHAnsi" w:hAnsiTheme="minorHAnsi" w:cstheme="minorHAnsi"/>
          <w:b/>
          <w:sz w:val="20"/>
          <w:szCs w:val="20"/>
        </w:rPr>
        <w:t>78</w:t>
      </w:r>
      <w:r w:rsidR="00E46A59" w:rsidRPr="00056C5A">
        <w:rPr>
          <w:rFonts w:asciiTheme="minorHAnsi" w:hAnsiTheme="minorHAnsi" w:cstheme="minorHAnsi"/>
          <w:b/>
          <w:sz w:val="20"/>
          <w:szCs w:val="20"/>
        </w:rPr>
        <w:t>% r/r</w:t>
      </w:r>
    </w:p>
    <w:p w14:paraId="25E5D229" w14:textId="7970FADF" w:rsidR="00765FB2" w:rsidRPr="00056C5A" w:rsidRDefault="00505C35" w:rsidP="00056C5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Wiele</w:t>
      </w:r>
      <w:r w:rsidR="002E46BF">
        <w:rPr>
          <w:rFonts w:asciiTheme="minorHAnsi" w:hAnsiTheme="minorHAnsi" w:cstheme="minorHAnsi"/>
          <w:b/>
          <w:sz w:val="20"/>
          <w:szCs w:val="20"/>
        </w:rPr>
        <w:t xml:space="preserve"> projekt</w:t>
      </w:r>
      <w:r>
        <w:rPr>
          <w:rFonts w:asciiTheme="minorHAnsi" w:hAnsiTheme="minorHAnsi" w:cstheme="minorHAnsi"/>
          <w:b/>
          <w:sz w:val="20"/>
          <w:szCs w:val="20"/>
        </w:rPr>
        <w:t>ów</w:t>
      </w:r>
      <w:r w:rsidR="002E46BF">
        <w:rPr>
          <w:rFonts w:asciiTheme="minorHAnsi" w:hAnsiTheme="minorHAnsi" w:cstheme="minorHAnsi"/>
          <w:b/>
          <w:sz w:val="20"/>
          <w:szCs w:val="20"/>
        </w:rPr>
        <w:t xml:space="preserve"> infrastrukturaln</w:t>
      </w:r>
      <w:r>
        <w:rPr>
          <w:rFonts w:asciiTheme="minorHAnsi" w:hAnsiTheme="minorHAnsi" w:cstheme="minorHAnsi"/>
          <w:b/>
          <w:sz w:val="20"/>
          <w:szCs w:val="20"/>
        </w:rPr>
        <w:t>ych</w:t>
      </w:r>
      <w:r w:rsidR="00642DB5">
        <w:rPr>
          <w:rFonts w:asciiTheme="minorHAnsi" w:hAnsiTheme="minorHAnsi" w:cstheme="minorHAnsi"/>
          <w:b/>
          <w:sz w:val="20"/>
          <w:szCs w:val="20"/>
        </w:rPr>
        <w:t xml:space="preserve"> i autostradow</w:t>
      </w:r>
      <w:r>
        <w:rPr>
          <w:rFonts w:asciiTheme="minorHAnsi" w:hAnsiTheme="minorHAnsi" w:cstheme="minorHAnsi"/>
          <w:b/>
          <w:sz w:val="20"/>
          <w:szCs w:val="20"/>
        </w:rPr>
        <w:t>ych</w:t>
      </w:r>
      <w:r w:rsidR="00642DB5">
        <w:rPr>
          <w:rFonts w:asciiTheme="minorHAnsi" w:hAnsiTheme="minorHAnsi" w:cstheme="minorHAnsi"/>
          <w:b/>
          <w:sz w:val="20"/>
          <w:szCs w:val="20"/>
        </w:rPr>
        <w:t xml:space="preserve"> oraz</w:t>
      </w:r>
      <w:r w:rsidR="0025763E" w:rsidRPr="00056C5A">
        <w:rPr>
          <w:rFonts w:asciiTheme="minorHAnsi" w:hAnsiTheme="minorHAnsi" w:cstheme="minorHAnsi"/>
          <w:b/>
          <w:sz w:val="20"/>
          <w:szCs w:val="20"/>
        </w:rPr>
        <w:t xml:space="preserve"> wygrany przetarg na oświetlenie Warszawy</w:t>
      </w:r>
    </w:p>
    <w:p w14:paraId="1098E405" w14:textId="0F1FDD8E" w:rsidR="00765FB2" w:rsidRDefault="002E46BF" w:rsidP="00056C5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Zrównoważony rozwój LUG nagrodzony t</w:t>
      </w:r>
      <w:r w:rsidR="00C11D13" w:rsidRPr="00056C5A">
        <w:rPr>
          <w:rFonts w:asciiTheme="minorHAnsi" w:hAnsiTheme="minorHAnsi" w:cstheme="minorHAnsi"/>
          <w:b/>
          <w:bCs/>
          <w:sz w:val="20"/>
          <w:szCs w:val="20"/>
        </w:rPr>
        <w:t>ytuł</w:t>
      </w:r>
      <w:r>
        <w:rPr>
          <w:rFonts w:asciiTheme="minorHAnsi" w:hAnsiTheme="minorHAnsi" w:cstheme="minorHAnsi"/>
          <w:b/>
          <w:bCs/>
          <w:sz w:val="20"/>
          <w:szCs w:val="20"/>
        </w:rPr>
        <w:t>em</w:t>
      </w:r>
      <w:r w:rsidR="00C11D13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Promotora ekologii na rynkach zagranicznych i Spółki Świadomej Klimatycznie</w:t>
      </w:r>
    </w:p>
    <w:p w14:paraId="5CCA66B7" w14:textId="571DC7F8" w:rsidR="002E46BF" w:rsidRPr="00056C5A" w:rsidRDefault="002E46BF" w:rsidP="00056C5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18% CAGR prognozowanego tempa rozwoju rynku oświetlenia LED w Europie do 2025 r.</w:t>
      </w:r>
    </w:p>
    <w:p w14:paraId="7A75B475" w14:textId="77777777" w:rsidR="00765FB2" w:rsidRPr="00653355" w:rsidRDefault="00765FB2">
      <w:pPr>
        <w:pStyle w:val="Akapitzlist"/>
      </w:pPr>
    </w:p>
    <w:p w14:paraId="247779E9" w14:textId="69F8D135" w:rsidR="00DB10A1" w:rsidRDefault="00C11D13" w:rsidP="00056C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6C5A">
        <w:rPr>
          <w:rFonts w:asciiTheme="minorHAnsi" w:hAnsiTheme="minorHAnsi" w:cstheme="minorHAnsi"/>
          <w:b/>
          <w:sz w:val="20"/>
          <w:szCs w:val="20"/>
        </w:rPr>
        <w:t>Pomimo trudności</w:t>
      </w:r>
      <w:r w:rsidR="002F6F45" w:rsidRPr="00056C5A">
        <w:rPr>
          <w:rFonts w:asciiTheme="minorHAnsi" w:hAnsiTheme="minorHAnsi" w:cstheme="minorHAnsi"/>
          <w:b/>
          <w:sz w:val="20"/>
          <w:szCs w:val="20"/>
        </w:rPr>
        <w:t xml:space="preserve"> związanych ze światową pandemią Covid-19</w:t>
      </w:r>
      <w:r w:rsidRPr="00056C5A">
        <w:rPr>
          <w:rFonts w:asciiTheme="minorHAnsi" w:hAnsiTheme="minorHAnsi" w:cstheme="minorHAnsi"/>
          <w:b/>
          <w:sz w:val="20"/>
          <w:szCs w:val="20"/>
        </w:rPr>
        <w:t xml:space="preserve">, Grupa Kapitałowa </w:t>
      </w:r>
      <w:r w:rsidR="00765FB2" w:rsidRPr="00056C5A">
        <w:rPr>
          <w:rFonts w:asciiTheme="minorHAnsi" w:hAnsiTheme="minorHAnsi" w:cstheme="minorHAnsi"/>
          <w:b/>
          <w:sz w:val="20"/>
          <w:szCs w:val="20"/>
        </w:rPr>
        <w:t>LUG</w:t>
      </w:r>
      <w:r w:rsidRPr="00056C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F45" w:rsidRPr="00056C5A">
        <w:rPr>
          <w:rFonts w:asciiTheme="minorHAnsi" w:hAnsiTheme="minorHAnsi" w:cstheme="minorHAnsi"/>
          <w:b/>
          <w:sz w:val="20"/>
          <w:szCs w:val="20"/>
        </w:rPr>
        <w:t>S.A. uznaje rok 2020 za</w:t>
      </w:r>
      <w:r w:rsidR="00340B79">
        <w:rPr>
          <w:rFonts w:asciiTheme="minorHAnsi" w:hAnsiTheme="minorHAnsi" w:cstheme="minorHAnsi"/>
          <w:b/>
          <w:sz w:val="20"/>
          <w:szCs w:val="20"/>
        </w:rPr>
        <w:t> </w:t>
      </w:r>
      <w:r w:rsidR="002F6F45" w:rsidRPr="00056C5A">
        <w:rPr>
          <w:rFonts w:asciiTheme="minorHAnsi" w:hAnsiTheme="minorHAnsi" w:cstheme="minorHAnsi"/>
          <w:b/>
          <w:sz w:val="20"/>
          <w:szCs w:val="20"/>
        </w:rPr>
        <w:t>udany</w:t>
      </w:r>
      <w:r w:rsidR="006C0F43">
        <w:rPr>
          <w:rFonts w:asciiTheme="minorHAnsi" w:hAnsiTheme="minorHAnsi" w:cstheme="minorHAnsi"/>
          <w:b/>
          <w:sz w:val="20"/>
          <w:szCs w:val="20"/>
        </w:rPr>
        <w:t xml:space="preserve"> i mocnym akcen</w:t>
      </w:r>
      <w:r w:rsidR="00505C35">
        <w:rPr>
          <w:rFonts w:asciiTheme="minorHAnsi" w:hAnsiTheme="minorHAnsi" w:cstheme="minorHAnsi"/>
          <w:b/>
          <w:sz w:val="20"/>
          <w:szCs w:val="20"/>
        </w:rPr>
        <w:t>tem</w:t>
      </w:r>
      <w:r w:rsidR="006C0F43">
        <w:rPr>
          <w:rFonts w:asciiTheme="minorHAnsi" w:hAnsiTheme="minorHAnsi" w:cstheme="minorHAnsi"/>
          <w:b/>
          <w:sz w:val="20"/>
          <w:szCs w:val="20"/>
        </w:rPr>
        <w:t xml:space="preserve"> rozpoczyna 2021 rok. </w:t>
      </w:r>
      <w:r w:rsidR="00505C35">
        <w:rPr>
          <w:rFonts w:asciiTheme="minorHAnsi" w:hAnsiTheme="minorHAnsi" w:cstheme="minorHAnsi"/>
          <w:b/>
          <w:sz w:val="20"/>
          <w:szCs w:val="20"/>
        </w:rPr>
        <w:t>Dziś</w:t>
      </w:r>
      <w:r w:rsidR="006C0F43">
        <w:rPr>
          <w:rFonts w:asciiTheme="minorHAnsi" w:hAnsiTheme="minorHAnsi" w:cstheme="minorHAnsi"/>
          <w:b/>
          <w:sz w:val="20"/>
          <w:szCs w:val="20"/>
        </w:rPr>
        <w:t xml:space="preserve"> Zarząd </w:t>
      </w:r>
      <w:r w:rsidR="00505C35">
        <w:rPr>
          <w:rFonts w:asciiTheme="minorHAnsi" w:hAnsiTheme="minorHAnsi" w:cstheme="minorHAnsi"/>
          <w:b/>
          <w:sz w:val="20"/>
          <w:szCs w:val="20"/>
        </w:rPr>
        <w:t xml:space="preserve">Grupy </w:t>
      </w:r>
      <w:r w:rsidR="006C0F43">
        <w:rPr>
          <w:rFonts w:asciiTheme="minorHAnsi" w:hAnsiTheme="minorHAnsi" w:cstheme="minorHAnsi"/>
          <w:b/>
          <w:sz w:val="20"/>
          <w:szCs w:val="20"/>
        </w:rPr>
        <w:t>poinformował o rozbudowie Centrum</w:t>
      </w:r>
      <w:r w:rsidR="00340B79">
        <w:rPr>
          <w:rFonts w:asciiTheme="minorHAnsi" w:hAnsiTheme="minorHAnsi" w:cstheme="minorHAnsi"/>
          <w:b/>
          <w:sz w:val="20"/>
          <w:szCs w:val="20"/>
        </w:rPr>
        <w:t> </w:t>
      </w:r>
      <w:r w:rsidR="006C0F43">
        <w:rPr>
          <w:rFonts w:asciiTheme="minorHAnsi" w:hAnsiTheme="minorHAnsi" w:cstheme="minorHAnsi"/>
          <w:b/>
          <w:sz w:val="20"/>
          <w:szCs w:val="20"/>
        </w:rPr>
        <w:t>Badawczo – Rozwojowego, czyli drugiej polskiej fabryki zlokalizowanej w Nowym Kisielinie k.</w:t>
      </w:r>
      <w:r w:rsidR="00340B79">
        <w:rPr>
          <w:rFonts w:asciiTheme="minorHAnsi" w:hAnsiTheme="minorHAnsi" w:cstheme="minorHAnsi"/>
          <w:b/>
          <w:sz w:val="20"/>
          <w:szCs w:val="20"/>
        </w:rPr>
        <w:t> </w:t>
      </w:r>
      <w:r w:rsidR="006C0F43">
        <w:rPr>
          <w:rFonts w:asciiTheme="minorHAnsi" w:hAnsiTheme="minorHAnsi" w:cstheme="minorHAnsi"/>
          <w:b/>
          <w:sz w:val="20"/>
          <w:szCs w:val="20"/>
        </w:rPr>
        <w:t>Zielonej</w:t>
      </w:r>
      <w:r w:rsidR="00340B79">
        <w:rPr>
          <w:rFonts w:asciiTheme="minorHAnsi" w:hAnsiTheme="minorHAnsi" w:cstheme="minorHAnsi"/>
          <w:b/>
          <w:sz w:val="20"/>
          <w:szCs w:val="20"/>
        </w:rPr>
        <w:t> </w:t>
      </w:r>
      <w:r w:rsidR="006C0F43">
        <w:rPr>
          <w:rFonts w:asciiTheme="minorHAnsi" w:hAnsiTheme="minorHAnsi" w:cstheme="minorHAnsi"/>
          <w:b/>
          <w:sz w:val="20"/>
          <w:szCs w:val="20"/>
        </w:rPr>
        <w:t xml:space="preserve">Góry. </w:t>
      </w:r>
      <w:r w:rsidR="007B53F8" w:rsidRPr="00056C5A">
        <w:rPr>
          <w:rFonts w:asciiTheme="minorHAnsi" w:hAnsiTheme="minorHAnsi" w:cstheme="minorHAnsi"/>
          <w:b/>
          <w:sz w:val="20"/>
          <w:szCs w:val="20"/>
        </w:rPr>
        <w:t>Firma zainwestuje w ten projekt 7</w:t>
      </w:r>
      <w:r w:rsidR="006C0F43">
        <w:rPr>
          <w:rFonts w:asciiTheme="minorHAnsi" w:hAnsiTheme="minorHAnsi" w:cstheme="minorHAnsi"/>
          <w:b/>
          <w:sz w:val="20"/>
          <w:szCs w:val="20"/>
        </w:rPr>
        <w:t>,1</w:t>
      </w:r>
      <w:r w:rsidR="007B53F8" w:rsidRPr="00056C5A">
        <w:rPr>
          <w:rFonts w:asciiTheme="minorHAnsi" w:hAnsiTheme="minorHAnsi" w:cstheme="minorHAnsi"/>
          <w:b/>
          <w:sz w:val="20"/>
          <w:szCs w:val="20"/>
        </w:rPr>
        <w:t xml:space="preserve"> mln zł. Umowa </w:t>
      </w:r>
      <w:r w:rsidR="00765FB2" w:rsidRPr="00056C5A">
        <w:rPr>
          <w:rFonts w:asciiTheme="minorHAnsi" w:hAnsiTheme="minorHAnsi" w:cstheme="minorHAnsi"/>
          <w:b/>
          <w:sz w:val="20"/>
          <w:szCs w:val="20"/>
        </w:rPr>
        <w:t>obejmuje rozbudowę hali magazynowej z</w:t>
      </w:r>
      <w:r w:rsidR="00340B79">
        <w:rPr>
          <w:rFonts w:asciiTheme="minorHAnsi" w:hAnsiTheme="minorHAnsi" w:cstheme="minorHAnsi"/>
          <w:b/>
          <w:sz w:val="20"/>
          <w:szCs w:val="20"/>
        </w:rPr>
        <w:t> </w:t>
      </w:r>
      <w:r w:rsidR="00765FB2" w:rsidRPr="00056C5A">
        <w:rPr>
          <w:rFonts w:asciiTheme="minorHAnsi" w:hAnsiTheme="minorHAnsi" w:cstheme="minorHAnsi"/>
          <w:b/>
          <w:sz w:val="20"/>
          <w:szCs w:val="20"/>
        </w:rPr>
        <w:t>zapleczem biurowo – socjalnym. W wyniku realizacji projektu powierzchnia magazynowa zostanie zwiększona o ok. 3000 m</w:t>
      </w:r>
      <w:r w:rsidR="00765FB2" w:rsidRPr="00CE0F3D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765FB2" w:rsidRPr="00056C5A">
        <w:rPr>
          <w:rFonts w:asciiTheme="minorHAnsi" w:hAnsiTheme="minorHAnsi" w:cstheme="minorHAnsi"/>
          <w:b/>
          <w:sz w:val="20"/>
          <w:szCs w:val="20"/>
        </w:rPr>
        <w:t>, natomiast przestrzeń biurowo – socjalna powiększy się o ok. 500 m</w:t>
      </w:r>
      <w:r w:rsidR="00765FB2" w:rsidRPr="00CE0F3D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765FB2" w:rsidRPr="00056C5A">
        <w:rPr>
          <w:rFonts w:asciiTheme="minorHAnsi" w:hAnsiTheme="minorHAnsi" w:cstheme="minorHAnsi"/>
          <w:b/>
          <w:sz w:val="20"/>
          <w:szCs w:val="20"/>
        </w:rPr>
        <w:t>.</w:t>
      </w:r>
      <w:r w:rsidR="002F6F45" w:rsidRPr="00056C5A">
        <w:rPr>
          <w:rFonts w:asciiTheme="minorHAnsi" w:hAnsiTheme="minorHAnsi" w:cstheme="minorHAnsi"/>
          <w:b/>
          <w:sz w:val="20"/>
          <w:szCs w:val="20"/>
        </w:rPr>
        <w:t xml:space="preserve"> Ponadto LUG poszczycić się może nowymi kontraktami, obejmującymi m.in. wymianę oświetlenia</w:t>
      </w:r>
      <w:r w:rsidR="006628B0" w:rsidRPr="00056C5A">
        <w:rPr>
          <w:rFonts w:asciiTheme="minorHAnsi" w:hAnsiTheme="minorHAnsi" w:cstheme="minorHAnsi"/>
          <w:b/>
          <w:sz w:val="20"/>
          <w:szCs w:val="20"/>
        </w:rPr>
        <w:t xml:space="preserve"> na ulicach</w:t>
      </w:r>
      <w:r w:rsidR="002F6F45" w:rsidRPr="00056C5A">
        <w:rPr>
          <w:rFonts w:asciiTheme="minorHAnsi" w:hAnsiTheme="minorHAnsi" w:cstheme="minorHAnsi"/>
          <w:b/>
          <w:sz w:val="20"/>
          <w:szCs w:val="20"/>
        </w:rPr>
        <w:t xml:space="preserve"> Miasta Stołecznego Warszawa, czy budowę oświetlenia na strategicznych odcinkach dróg szybkiego ruchu w Polsce.</w:t>
      </w:r>
    </w:p>
    <w:p w14:paraId="67B99D6D" w14:textId="16DC8217" w:rsidR="00765FB2" w:rsidRPr="00273AB8" w:rsidRDefault="00765FB2" w:rsidP="00056C5A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056C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AA3190" w14:textId="401B3961" w:rsidR="006C0F43" w:rsidRDefault="00DB10A1" w:rsidP="00DB10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3AB8">
        <w:rPr>
          <w:rFonts w:asciiTheme="minorHAnsi" w:hAnsiTheme="minorHAnsi" w:cstheme="minorHAnsi"/>
          <w:bCs/>
          <w:sz w:val="20"/>
          <w:szCs w:val="20"/>
        </w:rPr>
        <w:t xml:space="preserve">W minionym roku 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>LUG poprawił wskaźniki ROE, ROA oraz płynność. W III kwartale 2020 spółka odnotowała też</w:t>
      </w:r>
      <w:r w:rsidR="00340B79">
        <w:rPr>
          <w:rFonts w:asciiTheme="minorHAnsi" w:hAnsiTheme="minorHAnsi" w:cstheme="minorHAnsi"/>
          <w:bCs/>
          <w:sz w:val="20"/>
          <w:szCs w:val="20"/>
        </w:rPr>
        <w:t> 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>rekordowy poziom EBITDA</w:t>
      </w:r>
      <w:r w:rsidR="00505C35">
        <w:rPr>
          <w:rFonts w:asciiTheme="minorHAnsi" w:hAnsiTheme="minorHAnsi" w:cstheme="minorHAnsi"/>
          <w:bCs/>
          <w:sz w:val="20"/>
          <w:szCs w:val="20"/>
        </w:rPr>
        <w:t>,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 xml:space="preserve"> na co wpływ miały obniżone koszty sprzedaży oraz świadczenia z FGŚP. Utrzymała </w:t>
      </w:r>
      <w:r w:rsidR="00C85070">
        <w:rPr>
          <w:rFonts w:asciiTheme="minorHAnsi" w:hAnsiTheme="minorHAnsi" w:cstheme="minorHAnsi"/>
          <w:bCs/>
          <w:sz w:val="20"/>
          <w:szCs w:val="20"/>
        </w:rPr>
        <w:t>również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 xml:space="preserve"> wysoki poziom rentowności</w:t>
      </w:r>
      <w:r>
        <w:rPr>
          <w:rFonts w:asciiTheme="minorHAnsi" w:hAnsiTheme="minorHAnsi" w:cstheme="minorHAnsi"/>
          <w:bCs/>
          <w:sz w:val="20"/>
          <w:szCs w:val="20"/>
        </w:rPr>
        <w:t xml:space="preserve"> sprzedaży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>, zbliżony do strategicznego</w:t>
      </w:r>
      <w:r>
        <w:rPr>
          <w:rFonts w:asciiTheme="minorHAnsi" w:hAnsiTheme="minorHAnsi" w:cstheme="minorHAnsi"/>
          <w:bCs/>
          <w:sz w:val="20"/>
          <w:szCs w:val="20"/>
        </w:rPr>
        <w:t xml:space="preserve"> celu marży brutto na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 xml:space="preserve"> poziom</w:t>
      </w:r>
      <w:r>
        <w:rPr>
          <w:rFonts w:asciiTheme="minorHAnsi" w:hAnsiTheme="minorHAnsi" w:cstheme="minorHAnsi"/>
          <w:bCs/>
          <w:sz w:val="20"/>
          <w:szCs w:val="20"/>
        </w:rPr>
        <w:t>ie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 xml:space="preserve"> 40</w:t>
      </w:r>
      <w:r w:rsidR="00340B79">
        <w:rPr>
          <w:rFonts w:asciiTheme="minorHAnsi" w:hAnsiTheme="minorHAnsi" w:cstheme="minorHAnsi"/>
          <w:bCs/>
          <w:sz w:val="20"/>
          <w:szCs w:val="20"/>
        </w:rPr>
        <w:t> 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>proc</w:t>
      </w:r>
      <w:r w:rsidR="00505C35">
        <w:rPr>
          <w:rFonts w:asciiTheme="minorHAnsi" w:hAnsiTheme="minorHAnsi" w:cstheme="minorHAnsi"/>
          <w:bCs/>
          <w:sz w:val="20"/>
          <w:szCs w:val="20"/>
        </w:rPr>
        <w:t>ent</w:t>
      </w:r>
      <w:r w:rsidR="006C0F43" w:rsidRPr="00273AB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AE0C316" w14:textId="77777777" w:rsidR="00C85070" w:rsidRPr="00273AB8" w:rsidRDefault="00C85070" w:rsidP="00273A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sz w:val="14"/>
          <w:szCs w:val="14"/>
        </w:rPr>
      </w:pPr>
    </w:p>
    <w:p w14:paraId="47D34EC3" w14:textId="19BDA9F9" w:rsidR="000A0439" w:rsidRDefault="007F0BFC" w:rsidP="00DB10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56C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Pr="00056C5A">
        <w:rPr>
          <w:rFonts w:asciiTheme="minorHAnsi" w:hAnsiTheme="minorHAnsi" w:cstheme="minorHAnsi"/>
          <w:sz w:val="20"/>
          <w:szCs w:val="20"/>
        </w:rPr>
        <w:t>Rok 2020 przeszedł do historii. Był to trudny czas, pełen niespotykanych wyzwań.  Światowa pandemia zmieniła nasze życie zarówno w sferze zawodowej jak i prywatnej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. </w:t>
      </w:r>
      <w:r w:rsidR="00260062" w:rsidRPr="00056C5A">
        <w:rPr>
          <w:rFonts w:asciiTheme="minorHAnsi" w:hAnsiTheme="minorHAnsi" w:cstheme="minorHAnsi"/>
          <w:sz w:val="20"/>
          <w:szCs w:val="20"/>
        </w:rPr>
        <w:t>Znacząco wpłynęła na funkcjonowanie wielu gałęzi gospodarki, w tym rynku oświetlenia.</w:t>
      </w:r>
      <w:r w:rsidR="00260062">
        <w:rPr>
          <w:rFonts w:asciiTheme="minorHAnsi" w:hAnsiTheme="minorHAnsi" w:cstheme="minorHAnsi"/>
          <w:sz w:val="20"/>
          <w:szCs w:val="20"/>
        </w:rPr>
        <w:t xml:space="preserve"> </w:t>
      </w:r>
      <w:r w:rsidR="00260062" w:rsidRPr="00260062">
        <w:rPr>
          <w:rFonts w:ascii="Calibri" w:hAnsi="Calibri" w:cs="AppleSystemUIFontItalic"/>
          <w:sz w:val="20"/>
          <w:szCs w:val="20"/>
        </w:rPr>
        <w:t>Pomimo niesprzyjającej sytuacji ekonomiczno-społecznej</w:t>
      </w:r>
      <w:r w:rsidR="00505C35">
        <w:rPr>
          <w:rFonts w:ascii="Calibri" w:hAnsi="Calibri" w:cs="AppleSystemUIFontItalic"/>
          <w:sz w:val="20"/>
          <w:szCs w:val="20"/>
        </w:rPr>
        <w:t>,</w:t>
      </w:r>
      <w:r w:rsidR="00260062" w:rsidRPr="00260062">
        <w:rPr>
          <w:rFonts w:ascii="Calibri" w:hAnsi="Calibri" w:cs="AppleSystemUIFontItalic"/>
          <w:sz w:val="20"/>
          <w:szCs w:val="20"/>
        </w:rPr>
        <w:t xml:space="preserve"> </w:t>
      </w:r>
      <w:r w:rsidR="00260062">
        <w:rPr>
          <w:rFonts w:ascii="Calibri" w:hAnsi="Calibri" w:cs="AppleSystemUIFontItalic"/>
          <w:sz w:val="20"/>
          <w:szCs w:val="20"/>
        </w:rPr>
        <w:t xml:space="preserve">rok </w:t>
      </w:r>
      <w:r w:rsidR="00260062" w:rsidRPr="00260062">
        <w:rPr>
          <w:rFonts w:ascii="Calibri" w:hAnsi="Calibri" w:cs="AppleSystemUIFontItalic"/>
          <w:sz w:val="20"/>
          <w:szCs w:val="20"/>
        </w:rPr>
        <w:t>zakończyliśmy w dobrych nastrojach</w:t>
      </w:r>
      <w:r w:rsidR="00260062">
        <w:rPr>
          <w:rFonts w:ascii="Calibri" w:hAnsi="Calibri" w:cs="AppleSystemUIFontItalic"/>
          <w:sz w:val="20"/>
          <w:szCs w:val="20"/>
        </w:rPr>
        <w:t>.</w:t>
      </w:r>
      <w:r w:rsidR="00260062" w:rsidRPr="00776828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r w:rsidR="00056C5A" w:rsidRPr="00056C5A">
        <w:rPr>
          <w:rFonts w:asciiTheme="minorHAnsi" w:hAnsiTheme="minorHAnsi" w:cstheme="minorHAnsi"/>
          <w:sz w:val="20"/>
          <w:szCs w:val="20"/>
        </w:rPr>
        <w:t>Z perspektywy ostatnich miesięcy mog</w:t>
      </w:r>
      <w:r w:rsidR="00340B79">
        <w:rPr>
          <w:rFonts w:asciiTheme="minorHAnsi" w:hAnsiTheme="minorHAnsi" w:cstheme="minorHAnsi"/>
          <w:sz w:val="20"/>
          <w:szCs w:val="20"/>
        </w:rPr>
        <w:t>ę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 śmiało </w:t>
      </w:r>
      <w:r w:rsidR="00260062">
        <w:rPr>
          <w:rFonts w:asciiTheme="minorHAnsi" w:hAnsiTheme="minorHAnsi" w:cstheme="minorHAnsi"/>
          <w:sz w:val="20"/>
          <w:szCs w:val="20"/>
        </w:rPr>
        <w:t>stwierdzić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, 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że </w:t>
      </w:r>
      <w:r w:rsidR="00260062">
        <w:rPr>
          <w:rFonts w:asciiTheme="minorHAnsi" w:hAnsiTheme="minorHAnsi" w:cstheme="minorHAnsi"/>
          <w:sz w:val="20"/>
          <w:szCs w:val="20"/>
        </w:rPr>
        <w:t>sprawdziliśmy się jako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BC263F" w:rsidRPr="00056C5A">
        <w:rPr>
          <w:rFonts w:asciiTheme="minorHAnsi" w:hAnsiTheme="minorHAnsi" w:cstheme="minorHAnsi"/>
          <w:sz w:val="20"/>
          <w:szCs w:val="20"/>
        </w:rPr>
        <w:t>organizacja.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Naszą </w:t>
      </w:r>
      <w:r w:rsidRPr="00056C5A">
        <w:rPr>
          <w:rFonts w:asciiTheme="minorHAnsi" w:hAnsiTheme="minorHAnsi" w:cstheme="minorHAnsi"/>
          <w:sz w:val="20"/>
          <w:szCs w:val="20"/>
        </w:rPr>
        <w:t xml:space="preserve">mocną stroną </w:t>
      </w:r>
      <w:r w:rsidR="00BC263F" w:rsidRPr="00056C5A">
        <w:rPr>
          <w:rFonts w:asciiTheme="minorHAnsi" w:hAnsiTheme="minorHAnsi" w:cstheme="minorHAnsi"/>
          <w:sz w:val="20"/>
          <w:szCs w:val="20"/>
        </w:rPr>
        <w:t>okazał</w:t>
      </w:r>
      <w:r w:rsidR="00260062">
        <w:rPr>
          <w:rFonts w:asciiTheme="minorHAnsi" w:hAnsiTheme="minorHAnsi" w:cstheme="minorHAnsi"/>
          <w:sz w:val="20"/>
          <w:szCs w:val="20"/>
        </w:rPr>
        <w:t>a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 się </w:t>
      </w:r>
      <w:r w:rsidRPr="00056C5A">
        <w:rPr>
          <w:rFonts w:asciiTheme="minorHAnsi" w:hAnsiTheme="minorHAnsi" w:cstheme="minorHAnsi"/>
          <w:sz w:val="20"/>
          <w:szCs w:val="20"/>
        </w:rPr>
        <w:t xml:space="preserve">umiejętność adaptacji do zmieniającego się rynku i jego potrzeb. </w:t>
      </w:r>
      <w:r w:rsidR="0026580B">
        <w:rPr>
          <w:rFonts w:asciiTheme="minorHAnsi" w:hAnsiTheme="minorHAnsi" w:cstheme="minorHAnsi"/>
          <w:sz w:val="20"/>
          <w:szCs w:val="20"/>
        </w:rPr>
        <w:br/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W ciągu kilku miesięcy opracowaliśmy i wdrożyliśmy do sprzedaży </w:t>
      </w:r>
      <w:r w:rsidR="00DB10A1">
        <w:rPr>
          <w:rFonts w:asciiTheme="minorHAnsi" w:hAnsiTheme="minorHAnsi" w:cstheme="minorHAnsi"/>
          <w:sz w:val="20"/>
          <w:szCs w:val="20"/>
        </w:rPr>
        <w:t>oprawy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 UV</w:t>
      </w:r>
      <w:r w:rsidR="00DB10A1">
        <w:rPr>
          <w:rFonts w:asciiTheme="minorHAnsi" w:hAnsiTheme="minorHAnsi" w:cstheme="minorHAnsi"/>
          <w:sz w:val="20"/>
          <w:szCs w:val="20"/>
        </w:rPr>
        <w:t>-C</w:t>
      </w:r>
      <w:r w:rsidR="00056C5A" w:rsidRPr="00056C5A">
        <w:rPr>
          <w:rFonts w:asciiTheme="minorHAnsi" w:hAnsiTheme="minorHAnsi" w:cstheme="minorHAnsi"/>
          <w:sz w:val="20"/>
          <w:szCs w:val="20"/>
        </w:rPr>
        <w:t>, które zapewni</w:t>
      </w:r>
      <w:r w:rsidR="00477560">
        <w:rPr>
          <w:rFonts w:asciiTheme="minorHAnsi" w:hAnsiTheme="minorHAnsi" w:cstheme="minorHAnsi"/>
          <w:sz w:val="20"/>
          <w:szCs w:val="20"/>
        </w:rPr>
        <w:t>a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ją skuteczną sterylizację </w:t>
      </w:r>
      <w:r w:rsidR="00DB10A1" w:rsidRPr="00056C5A">
        <w:rPr>
          <w:rFonts w:asciiTheme="minorHAnsi" w:hAnsiTheme="minorHAnsi" w:cstheme="minorHAnsi"/>
          <w:sz w:val="20"/>
          <w:szCs w:val="20"/>
        </w:rPr>
        <w:t>pomieszczeń</w:t>
      </w:r>
      <w:r w:rsidR="00056C5A" w:rsidRPr="00056C5A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="00056C5A" w:rsidRPr="00056C5A">
        <w:rPr>
          <w:rFonts w:asciiTheme="minorHAnsi" w:hAnsiTheme="minorHAnsi" w:cstheme="minorHAnsi"/>
          <w:sz w:val="20"/>
          <w:szCs w:val="20"/>
        </w:rPr>
        <w:t xml:space="preserve">– </w:t>
      </w:r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 xml:space="preserve">mówi Ryszard </w:t>
      </w:r>
      <w:proofErr w:type="spellStart"/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>, Prezes Zarządu LUG S.A</w:t>
      </w:r>
      <w:r w:rsidR="00056C5A" w:rsidRPr="00F6735E">
        <w:rPr>
          <w:rFonts w:asciiTheme="minorHAnsi" w:hAnsiTheme="minorHAnsi" w:cstheme="minorHAnsi"/>
          <w:sz w:val="20"/>
          <w:szCs w:val="20"/>
        </w:rPr>
        <w:t>.</w:t>
      </w:r>
      <w:r w:rsidR="00056C5A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73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735E">
        <w:rPr>
          <w:rFonts w:asciiTheme="minorHAnsi" w:hAnsiTheme="minorHAnsi" w:cstheme="minorHAnsi"/>
          <w:sz w:val="20"/>
          <w:szCs w:val="20"/>
        </w:rPr>
        <w:t>M</w:t>
      </w:r>
      <w:r w:rsidR="00BC263F" w:rsidRPr="00F6735E">
        <w:rPr>
          <w:rFonts w:asciiTheme="minorHAnsi" w:hAnsiTheme="minorHAnsi" w:cstheme="minorHAnsi"/>
          <w:sz w:val="20"/>
          <w:szCs w:val="20"/>
        </w:rPr>
        <w:t xml:space="preserve">yślimy o </w:t>
      </w:r>
      <w:r w:rsidR="00CE0F3D">
        <w:rPr>
          <w:rFonts w:asciiTheme="minorHAnsi" w:hAnsiTheme="minorHAnsi" w:cstheme="minorHAnsi"/>
          <w:sz w:val="20"/>
          <w:szCs w:val="20"/>
        </w:rPr>
        <w:t xml:space="preserve">biznesie </w:t>
      </w:r>
      <w:r w:rsidR="00BC263F" w:rsidRPr="00F6735E">
        <w:rPr>
          <w:rFonts w:asciiTheme="minorHAnsi" w:hAnsiTheme="minorHAnsi" w:cstheme="minorHAnsi"/>
          <w:sz w:val="20"/>
          <w:szCs w:val="20"/>
        </w:rPr>
        <w:t>długookresowo, a mijający rok i pandemia pok</w:t>
      </w:r>
      <w:r w:rsidR="00BC263F" w:rsidRPr="00056C5A">
        <w:rPr>
          <w:rFonts w:asciiTheme="minorHAnsi" w:hAnsiTheme="minorHAnsi" w:cstheme="minorHAnsi"/>
          <w:sz w:val="20"/>
          <w:szCs w:val="20"/>
        </w:rPr>
        <w:t>azały nam, że aby się rozwijać</w:t>
      </w:r>
      <w:r w:rsidR="00505C35">
        <w:rPr>
          <w:rFonts w:asciiTheme="minorHAnsi" w:hAnsiTheme="minorHAnsi" w:cstheme="minorHAnsi"/>
          <w:sz w:val="20"/>
          <w:szCs w:val="20"/>
        </w:rPr>
        <w:t>,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 musimy mieć odpowiedź na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wydłużające się czasy realizacji dostaw komponentów czy przerwanie łańcuchów dostaw. </w:t>
      </w:r>
      <w:r w:rsidR="00056C5A" w:rsidRPr="00056C5A">
        <w:rPr>
          <w:rFonts w:asciiTheme="minorHAnsi" w:hAnsiTheme="minorHAnsi" w:cstheme="minorHAnsi"/>
          <w:sz w:val="20"/>
          <w:szCs w:val="20"/>
        </w:rPr>
        <w:t>I</w:t>
      </w:r>
      <w:r w:rsidR="00BC263F" w:rsidRPr="00056C5A">
        <w:rPr>
          <w:rFonts w:asciiTheme="minorHAnsi" w:hAnsiTheme="minorHAnsi" w:cstheme="minorHAnsi"/>
          <w:sz w:val="20"/>
          <w:szCs w:val="20"/>
        </w:rPr>
        <w:t>nwestycja w nowy magazyn jest też odpowiedzią na wyzwania związane z dostawami na odległe rynki</w:t>
      </w:r>
      <w:r w:rsidR="00DB10A1">
        <w:rPr>
          <w:rFonts w:asciiTheme="minorHAnsi" w:hAnsiTheme="minorHAnsi" w:cstheme="minorHAnsi"/>
          <w:sz w:val="20"/>
          <w:szCs w:val="20"/>
        </w:rPr>
        <w:t>, które wymagają pełnej kompletacji zamówień przed wysyłką</w:t>
      </w:r>
      <w:r w:rsidR="00BC263F" w:rsidRPr="00056C5A">
        <w:rPr>
          <w:rFonts w:asciiTheme="minorHAnsi" w:hAnsiTheme="minorHAnsi" w:cstheme="minorHAnsi"/>
          <w:sz w:val="20"/>
          <w:szCs w:val="20"/>
        </w:rPr>
        <w:t xml:space="preserve">. Do tego potrzebna jest przestrzeń magazynowa, którą zyskamy dzięki </w:t>
      </w:r>
      <w:r w:rsidR="00505C35">
        <w:rPr>
          <w:rFonts w:asciiTheme="minorHAnsi" w:hAnsiTheme="minorHAnsi" w:cstheme="minorHAnsi"/>
          <w:sz w:val="20"/>
          <w:szCs w:val="20"/>
        </w:rPr>
        <w:t>rozbudowie Centrum Badawczo-Rozwojowego w Nowym Kisielinie</w:t>
      </w:r>
      <w:r w:rsidR="00056C5A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 xml:space="preserve">dodaje prezes </w:t>
      </w:r>
      <w:proofErr w:type="spellStart"/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="00056C5A" w:rsidRPr="00F6735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993CE95" w14:textId="7DF68992" w:rsidR="0026580B" w:rsidRPr="00273AB8" w:rsidRDefault="0026580B" w:rsidP="00DB10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4403F419" w14:textId="77777777" w:rsidR="0026580B" w:rsidRPr="00056C5A" w:rsidRDefault="0026580B" w:rsidP="00273AB8">
      <w:pPr>
        <w:jc w:val="both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 xml:space="preserve">Centrum w Nowym Kisielinie jest drugim zakładem produkcyjnym Grupy w Polsce. Pierwszym jest powstała w 2008 roku siedziba LUG w Zielonej Górze, która została wybudowana ze środków z emisji akcji. Od tego momentu Grupa nie dokonywała kompleksowej rozbudowy przestrzeni magazynowych, a inwestycje skupiały się wokół przestrzeni i technologii produkcyjnych. </w:t>
      </w:r>
    </w:p>
    <w:p w14:paraId="66B849CF" w14:textId="77777777" w:rsidR="0026580B" w:rsidRPr="00273AB8" w:rsidRDefault="0026580B" w:rsidP="0026580B">
      <w:pPr>
        <w:rPr>
          <w:rFonts w:asciiTheme="minorHAnsi" w:hAnsiTheme="minorHAnsi" w:cstheme="minorHAnsi"/>
          <w:sz w:val="14"/>
          <w:szCs w:val="14"/>
        </w:rPr>
      </w:pPr>
    </w:p>
    <w:p w14:paraId="46F46529" w14:textId="298EC04A" w:rsidR="0026580B" w:rsidRPr="00056C5A" w:rsidRDefault="0026580B" w:rsidP="0026580B">
      <w:pPr>
        <w:jc w:val="both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 xml:space="preserve">- W obliczu dynamicznego rozwoju i dalszych planów ekspansji rynkowej, zdecydowaliśmy się powiększyć zakład </w:t>
      </w:r>
      <w:r w:rsidR="00CE0F3D">
        <w:rPr>
          <w:rFonts w:asciiTheme="minorHAnsi" w:hAnsiTheme="minorHAnsi" w:cstheme="minorHAnsi"/>
          <w:sz w:val="20"/>
          <w:szCs w:val="20"/>
        </w:rPr>
        <w:t>–</w:t>
      </w:r>
      <w:r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CE0F3D">
        <w:rPr>
          <w:rFonts w:asciiTheme="minorHAnsi" w:hAnsiTheme="minorHAnsi" w:cstheme="minorHAnsi"/>
          <w:b/>
          <w:bCs/>
          <w:sz w:val="20"/>
          <w:szCs w:val="20"/>
        </w:rPr>
        <w:t xml:space="preserve">komentuje decyzję o inwestycji </w:t>
      </w:r>
      <w:r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Ryszard </w:t>
      </w:r>
      <w:proofErr w:type="spellStart"/>
      <w:r w:rsidRPr="00056C5A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="00CE0F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56C5A">
        <w:rPr>
          <w:rFonts w:asciiTheme="minorHAnsi" w:hAnsiTheme="minorHAnsi" w:cstheme="minorHAnsi"/>
          <w:sz w:val="20"/>
          <w:szCs w:val="20"/>
        </w:rPr>
        <w:t xml:space="preserve"> - Dzięki rozbudowie będziemy mogli rozwijać nasz Dział Badań i Rozwoju oraz jeszcze sprawniej kształtować nasze portfolio produktowe, wychodząc naprzeciw potrzebom klientów. Pracujemy nad wieloma innowacjami produktowymi,</w:t>
      </w:r>
      <w:r w:rsidR="00505C35">
        <w:rPr>
          <w:rFonts w:asciiTheme="minorHAnsi" w:hAnsiTheme="minorHAnsi" w:cstheme="minorHAnsi"/>
          <w:sz w:val="20"/>
          <w:szCs w:val="20"/>
        </w:rPr>
        <w:t xml:space="preserve"> a</w:t>
      </w:r>
      <w:r w:rsidRPr="00056C5A">
        <w:rPr>
          <w:rFonts w:asciiTheme="minorHAnsi" w:hAnsiTheme="minorHAnsi" w:cstheme="minorHAnsi"/>
          <w:sz w:val="20"/>
          <w:szCs w:val="20"/>
        </w:rPr>
        <w:t xml:space="preserve"> aby je wprowadzić na rynek potrzebujemy przestrzeni – </w:t>
      </w:r>
      <w:r w:rsidRPr="00056C5A">
        <w:rPr>
          <w:rFonts w:asciiTheme="minorHAnsi" w:hAnsiTheme="minorHAnsi" w:cstheme="minorHAnsi"/>
          <w:b/>
          <w:bCs/>
          <w:sz w:val="20"/>
          <w:szCs w:val="20"/>
        </w:rPr>
        <w:t>dodaje.</w:t>
      </w:r>
    </w:p>
    <w:p w14:paraId="28D9C35E" w14:textId="77777777" w:rsidR="0026580B" w:rsidRPr="00273AB8" w:rsidRDefault="0026580B" w:rsidP="0026580B">
      <w:pPr>
        <w:rPr>
          <w:rFonts w:asciiTheme="minorHAnsi" w:hAnsiTheme="minorHAnsi" w:cstheme="minorHAnsi"/>
          <w:sz w:val="14"/>
          <w:szCs w:val="14"/>
        </w:rPr>
      </w:pPr>
    </w:p>
    <w:p w14:paraId="4528AF16" w14:textId="6D0AE76E" w:rsidR="0026580B" w:rsidRPr="00056C5A" w:rsidRDefault="0026580B" w:rsidP="002658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Inwestycja będzie realizowana na przestrzeni I-III kw. roku, a jej planowana w</w:t>
      </w:r>
      <w:r w:rsidRPr="00056C5A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26580B">
        <w:rPr>
          <w:rFonts w:asciiTheme="minorHAnsi" w:hAnsiTheme="minorHAnsi" w:cstheme="minorHAnsi"/>
          <w:sz w:val="20"/>
          <w:szCs w:val="20"/>
        </w:rPr>
        <w:t xml:space="preserve">to </w:t>
      </w:r>
      <w:r w:rsidRPr="00273AB8">
        <w:rPr>
          <w:rFonts w:asciiTheme="minorHAnsi" w:hAnsiTheme="minorHAnsi" w:cstheme="minorHAnsi"/>
          <w:sz w:val="20"/>
          <w:szCs w:val="20"/>
        </w:rPr>
        <w:t>7,1 mln zł.</w:t>
      </w:r>
      <w:r w:rsidRPr="00056C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08A08B" w14:textId="77777777" w:rsidR="0026580B" w:rsidRPr="00273AB8" w:rsidRDefault="0026580B" w:rsidP="00DB10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2D06C8C7" w14:textId="561D4BBE" w:rsidR="00810E7E" w:rsidRPr="00056C5A" w:rsidRDefault="00FC2538" w:rsidP="00056C5A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056C5A">
        <w:rPr>
          <w:rFonts w:asciiTheme="minorHAnsi" w:hAnsiTheme="minorHAnsi" w:cstheme="minorHAnsi"/>
          <w:b/>
          <w:bCs/>
          <w:color w:val="C00000"/>
          <w:sz w:val="20"/>
          <w:szCs w:val="20"/>
        </w:rPr>
        <w:t>Wymiana opraw oświetleniowych w Warszawie oraz p</w:t>
      </w:r>
      <w:r w:rsidR="00810E7E" w:rsidRPr="00056C5A">
        <w:rPr>
          <w:rFonts w:asciiTheme="minorHAnsi" w:hAnsiTheme="minorHAnsi" w:cstheme="minorHAnsi"/>
          <w:b/>
          <w:bCs/>
          <w:color w:val="C00000"/>
          <w:sz w:val="20"/>
          <w:szCs w:val="20"/>
        </w:rPr>
        <w:t>rojekty aut</w:t>
      </w:r>
      <w:r w:rsidR="00C11D13" w:rsidRPr="00056C5A">
        <w:rPr>
          <w:rFonts w:asciiTheme="minorHAnsi" w:hAnsiTheme="minorHAnsi" w:cstheme="minorHAnsi"/>
          <w:b/>
          <w:bCs/>
          <w:color w:val="C00000"/>
          <w:sz w:val="20"/>
          <w:szCs w:val="20"/>
        </w:rPr>
        <w:t>o</w:t>
      </w:r>
      <w:r w:rsidR="00810E7E" w:rsidRPr="00056C5A">
        <w:rPr>
          <w:rFonts w:asciiTheme="minorHAnsi" w:hAnsiTheme="minorHAnsi" w:cstheme="minorHAnsi"/>
          <w:b/>
          <w:bCs/>
          <w:color w:val="C00000"/>
          <w:sz w:val="20"/>
          <w:szCs w:val="20"/>
        </w:rPr>
        <w:t>stradowe</w:t>
      </w:r>
    </w:p>
    <w:p w14:paraId="0766C1FF" w14:textId="6473B238" w:rsidR="009B4A99" w:rsidRPr="00056C5A" w:rsidRDefault="00FC2538" w:rsidP="00056C5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56C5A">
        <w:rPr>
          <w:rFonts w:asciiTheme="minorHAnsi" w:hAnsiTheme="minorHAnsi" w:cstheme="minorHAnsi"/>
          <w:bCs/>
          <w:sz w:val="20"/>
          <w:szCs w:val="20"/>
        </w:rPr>
        <w:t>Miniony rok 2020 to czas sukcesu Grupy na polu przetargów związanych z dużymi inwestycjami infrastrukturalnymi w Mieście Stołecznym Warszawa oraz w newralgicznych punktach ważnych dróg szybkiego ruchu w Polsce.</w:t>
      </w:r>
      <w:r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540DB91" w14:textId="77777777" w:rsidR="009B4A99" w:rsidRPr="00273AB8" w:rsidRDefault="009B4A99" w:rsidP="00056C5A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33706D97" w14:textId="52CDE0DE" w:rsidR="0009278B" w:rsidRPr="00056C5A" w:rsidRDefault="00765FB2" w:rsidP="00056C5A">
      <w:pPr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 xml:space="preserve">LUG </w:t>
      </w:r>
      <w:proofErr w:type="spellStart"/>
      <w:r w:rsidRPr="00056C5A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056C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6C5A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056C5A">
        <w:rPr>
          <w:rFonts w:asciiTheme="minorHAnsi" w:hAnsiTheme="minorHAnsi" w:cstheme="minorHAnsi"/>
          <w:sz w:val="20"/>
          <w:szCs w:val="20"/>
        </w:rPr>
        <w:t>,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 spółka zależna LUG S.A., dostarczy ponad 38,5 tysięcy opraw ulicznych dla Miasta Warszawa</w:t>
      </w:r>
      <w:r w:rsidRPr="00056C5A">
        <w:rPr>
          <w:rFonts w:asciiTheme="minorHAnsi" w:hAnsiTheme="minorHAnsi" w:cstheme="minorHAnsi"/>
          <w:sz w:val="20"/>
          <w:szCs w:val="20"/>
        </w:rPr>
        <w:t>. Do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>przetargu zgłosiło się sześć firm, w tym największe międzynarodowe koncerny, lecz to oferta LUG okazała się najlepiej spełniającą kryteria oceny. Zgodnie ze specyfikac</w:t>
      </w:r>
      <w:r w:rsidR="00FC2538" w:rsidRPr="00056C5A">
        <w:rPr>
          <w:rFonts w:asciiTheme="minorHAnsi" w:hAnsiTheme="minorHAnsi" w:cstheme="minorHAnsi"/>
          <w:sz w:val="20"/>
          <w:szCs w:val="20"/>
        </w:rPr>
        <w:t>ją z</w:t>
      </w:r>
      <w:r w:rsidRPr="00056C5A">
        <w:rPr>
          <w:rFonts w:asciiTheme="minorHAnsi" w:hAnsiTheme="minorHAnsi" w:cstheme="minorHAnsi"/>
          <w:sz w:val="20"/>
          <w:szCs w:val="20"/>
        </w:rPr>
        <w:t>amawiającego,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 czyli Urzędu Miasta Stołecznego Warszawa,</w:t>
      </w:r>
      <w:r w:rsidRPr="00056C5A">
        <w:rPr>
          <w:rFonts w:asciiTheme="minorHAnsi" w:hAnsiTheme="minorHAnsi" w:cstheme="minorHAnsi"/>
          <w:sz w:val="20"/>
          <w:szCs w:val="20"/>
        </w:rPr>
        <w:t xml:space="preserve"> nowe lampy będą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 na ulicach stolicy</w:t>
      </w:r>
      <w:r w:rsidRPr="00056C5A">
        <w:rPr>
          <w:rFonts w:asciiTheme="minorHAnsi" w:hAnsiTheme="minorHAnsi" w:cstheme="minorHAnsi"/>
          <w:sz w:val="20"/>
          <w:szCs w:val="20"/>
        </w:rPr>
        <w:t xml:space="preserve"> instalowane etapami, 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a </w:t>
      </w:r>
      <w:r w:rsidRPr="00056C5A">
        <w:rPr>
          <w:rFonts w:asciiTheme="minorHAnsi" w:hAnsiTheme="minorHAnsi" w:cstheme="minorHAnsi"/>
          <w:sz w:val="20"/>
          <w:szCs w:val="20"/>
        </w:rPr>
        <w:t>ostatnia partia powinn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a pojawić się </w:t>
      </w:r>
      <w:r w:rsidR="00505C35">
        <w:rPr>
          <w:rFonts w:asciiTheme="minorHAnsi" w:hAnsiTheme="minorHAnsi" w:cstheme="minorHAnsi"/>
          <w:sz w:val="20"/>
          <w:szCs w:val="20"/>
        </w:rPr>
        <w:br/>
      </w:r>
      <w:r w:rsidRPr="00056C5A">
        <w:rPr>
          <w:rFonts w:asciiTheme="minorHAnsi" w:hAnsiTheme="minorHAnsi" w:cstheme="minorHAnsi"/>
          <w:sz w:val="20"/>
          <w:szCs w:val="20"/>
        </w:rPr>
        <w:t>w grudn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iu 2022 roku, co jednak </w:t>
      </w:r>
      <w:r w:rsidR="00B07AB3">
        <w:rPr>
          <w:rFonts w:asciiTheme="minorHAnsi" w:hAnsiTheme="minorHAnsi" w:cstheme="minorHAnsi"/>
          <w:sz w:val="20"/>
          <w:szCs w:val="20"/>
        </w:rPr>
        <w:t>zostanie doprecyzowane w ramach umowy, której podpisanie przewidziano na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="00B07AB3">
        <w:rPr>
          <w:rFonts w:asciiTheme="minorHAnsi" w:hAnsiTheme="minorHAnsi" w:cstheme="minorHAnsi"/>
          <w:sz w:val="20"/>
          <w:szCs w:val="20"/>
        </w:rPr>
        <w:t>13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="00B07AB3">
        <w:rPr>
          <w:rFonts w:asciiTheme="minorHAnsi" w:hAnsiTheme="minorHAnsi" w:cstheme="minorHAnsi"/>
          <w:sz w:val="20"/>
          <w:szCs w:val="20"/>
        </w:rPr>
        <w:t>stycznia br</w:t>
      </w:r>
      <w:r w:rsidRPr="00056C5A">
        <w:rPr>
          <w:rFonts w:asciiTheme="minorHAnsi" w:hAnsiTheme="minorHAnsi" w:cstheme="minorHAnsi"/>
          <w:sz w:val="20"/>
          <w:szCs w:val="20"/>
        </w:rPr>
        <w:t xml:space="preserve">. Całkowita wartość </w:t>
      </w:r>
      <w:r w:rsidR="0081679B">
        <w:rPr>
          <w:rFonts w:asciiTheme="minorHAnsi" w:hAnsiTheme="minorHAnsi" w:cstheme="minorHAnsi"/>
          <w:sz w:val="20"/>
          <w:szCs w:val="20"/>
        </w:rPr>
        <w:t>projektu</w:t>
      </w:r>
      <w:r w:rsidRPr="00056C5A">
        <w:rPr>
          <w:rFonts w:asciiTheme="minorHAnsi" w:hAnsiTheme="minorHAnsi" w:cstheme="minorHAnsi"/>
          <w:sz w:val="20"/>
          <w:szCs w:val="20"/>
        </w:rPr>
        <w:t xml:space="preserve"> wynosi 32,08 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mln zł brutto. Zamawiającemu </w:t>
      </w:r>
      <w:r w:rsidR="00B804E2" w:rsidRPr="00056C5A">
        <w:rPr>
          <w:rFonts w:asciiTheme="minorHAnsi" w:hAnsiTheme="minorHAnsi" w:cstheme="minorHAnsi"/>
          <w:sz w:val="20"/>
          <w:szCs w:val="20"/>
        </w:rPr>
        <w:t>przysługuje jednak</w:t>
      </w:r>
      <w:r w:rsidRPr="00056C5A">
        <w:rPr>
          <w:rFonts w:asciiTheme="minorHAnsi" w:hAnsiTheme="minorHAnsi" w:cstheme="minorHAnsi"/>
          <w:sz w:val="20"/>
          <w:szCs w:val="20"/>
        </w:rPr>
        <w:t xml:space="preserve"> tzw.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 xml:space="preserve">„prawo opcji” co oznacza, że bez dodatkowego przetargu będzie mógł zwiększyć </w:t>
      </w:r>
      <w:r w:rsidR="002D67CE">
        <w:rPr>
          <w:rFonts w:asciiTheme="minorHAnsi" w:hAnsiTheme="minorHAnsi" w:cstheme="minorHAnsi"/>
          <w:sz w:val="20"/>
          <w:szCs w:val="20"/>
        </w:rPr>
        <w:t>zamówienie o kolejne oprawy</w:t>
      </w:r>
      <w:r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Pr="008832A9">
        <w:rPr>
          <w:rFonts w:asciiTheme="minorHAnsi" w:hAnsiTheme="minorHAnsi" w:cstheme="minorHAnsi"/>
          <w:sz w:val="20"/>
          <w:szCs w:val="20"/>
        </w:rPr>
        <w:t>LED</w:t>
      </w:r>
      <w:r w:rsidR="002D67CE">
        <w:rPr>
          <w:rFonts w:asciiTheme="minorHAnsi" w:hAnsiTheme="minorHAnsi" w:cstheme="minorHAnsi"/>
          <w:sz w:val="20"/>
          <w:szCs w:val="20"/>
        </w:rPr>
        <w:t xml:space="preserve"> o</w:t>
      </w:r>
      <w:r w:rsidRPr="008832A9">
        <w:rPr>
          <w:rFonts w:asciiTheme="minorHAnsi" w:hAnsiTheme="minorHAnsi" w:cstheme="minorHAnsi"/>
          <w:sz w:val="20"/>
          <w:szCs w:val="20"/>
        </w:rPr>
        <w:t xml:space="preserve"> wartoś</w:t>
      </w:r>
      <w:r w:rsidR="002D67CE">
        <w:rPr>
          <w:rFonts w:asciiTheme="minorHAnsi" w:hAnsiTheme="minorHAnsi" w:cstheme="minorHAnsi"/>
          <w:sz w:val="20"/>
          <w:szCs w:val="20"/>
        </w:rPr>
        <w:t xml:space="preserve">ci </w:t>
      </w:r>
      <w:r w:rsidRPr="008832A9">
        <w:rPr>
          <w:rFonts w:asciiTheme="minorHAnsi" w:hAnsiTheme="minorHAnsi" w:cstheme="minorHAnsi"/>
          <w:sz w:val="20"/>
          <w:szCs w:val="20"/>
        </w:rPr>
        <w:t>5 mln zł brutto.</w:t>
      </w:r>
      <w:r w:rsidR="00FC2538" w:rsidRPr="008832A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832A9">
        <w:rPr>
          <w:rFonts w:asciiTheme="minorHAnsi" w:hAnsiTheme="minorHAnsi" w:cstheme="minorHAnsi"/>
          <w:sz w:val="20"/>
          <w:szCs w:val="20"/>
        </w:rPr>
        <w:t>Rozstrzygnięty przetarg dotyczy wymiany oświetlen</w:t>
      </w:r>
      <w:r w:rsidRPr="00056C5A">
        <w:rPr>
          <w:rFonts w:asciiTheme="minorHAnsi" w:hAnsiTheme="minorHAnsi" w:cstheme="minorHAnsi"/>
          <w:sz w:val="20"/>
          <w:szCs w:val="20"/>
        </w:rPr>
        <w:t>ia</w:t>
      </w:r>
      <w:r w:rsidR="00FC2538" w:rsidRPr="00056C5A">
        <w:rPr>
          <w:rFonts w:asciiTheme="minorHAnsi" w:hAnsiTheme="minorHAnsi" w:cstheme="minorHAnsi"/>
          <w:sz w:val="20"/>
          <w:szCs w:val="20"/>
        </w:rPr>
        <w:t xml:space="preserve"> na głównych ulicach Warszawy, jednak w</w:t>
      </w:r>
      <w:r w:rsidRPr="00056C5A">
        <w:rPr>
          <w:rFonts w:asciiTheme="minorHAnsi" w:hAnsiTheme="minorHAnsi" w:cstheme="minorHAnsi"/>
          <w:sz w:val="20"/>
          <w:szCs w:val="20"/>
        </w:rPr>
        <w:t xml:space="preserve"> planach jest jeszcze wymiana oświetlenia na wysokich masztach na węzłach drogowych oraz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>na</w:t>
      </w:r>
      <w:r w:rsidR="00340B79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>zabytkowych ulicach</w:t>
      </w:r>
      <w:r w:rsidR="00B804E2" w:rsidRPr="00056C5A">
        <w:rPr>
          <w:rFonts w:asciiTheme="minorHAnsi" w:hAnsiTheme="minorHAnsi" w:cstheme="minorHAnsi"/>
          <w:sz w:val="20"/>
          <w:szCs w:val="20"/>
        </w:rPr>
        <w:t xml:space="preserve"> miasta</w:t>
      </w:r>
      <w:r w:rsidRPr="00056C5A">
        <w:rPr>
          <w:rFonts w:asciiTheme="minorHAnsi" w:hAnsiTheme="minorHAnsi" w:cstheme="minorHAnsi"/>
          <w:sz w:val="20"/>
          <w:szCs w:val="20"/>
        </w:rPr>
        <w:t>. Oznacza to, że całkowita pula wymienionego oświetl</w:t>
      </w:r>
      <w:r w:rsidR="00FC2538" w:rsidRPr="00056C5A">
        <w:rPr>
          <w:rFonts w:asciiTheme="minorHAnsi" w:hAnsiTheme="minorHAnsi" w:cstheme="minorHAnsi"/>
          <w:sz w:val="20"/>
          <w:szCs w:val="20"/>
        </w:rPr>
        <w:t>enia wzrośnie do</w:t>
      </w:r>
      <w:r w:rsidR="00A075BD">
        <w:rPr>
          <w:rFonts w:asciiTheme="minorHAnsi" w:hAnsiTheme="minorHAnsi" w:cstheme="minorHAnsi"/>
          <w:sz w:val="20"/>
          <w:szCs w:val="20"/>
        </w:rPr>
        <w:t> </w:t>
      </w:r>
      <w:r w:rsidR="00FC2538" w:rsidRPr="00056C5A">
        <w:rPr>
          <w:rFonts w:asciiTheme="minorHAnsi" w:hAnsiTheme="minorHAnsi" w:cstheme="minorHAnsi"/>
          <w:sz w:val="20"/>
          <w:szCs w:val="20"/>
        </w:rPr>
        <w:t>43</w:t>
      </w:r>
      <w:r w:rsidR="00A075BD">
        <w:rPr>
          <w:rFonts w:asciiTheme="minorHAnsi" w:hAnsiTheme="minorHAnsi" w:cstheme="minorHAnsi"/>
          <w:sz w:val="20"/>
          <w:szCs w:val="20"/>
        </w:rPr>
        <w:t> </w:t>
      </w:r>
      <w:r w:rsidR="00FC2538" w:rsidRPr="00056C5A">
        <w:rPr>
          <w:rFonts w:asciiTheme="minorHAnsi" w:hAnsiTheme="minorHAnsi" w:cstheme="minorHAnsi"/>
          <w:sz w:val="20"/>
          <w:szCs w:val="20"/>
        </w:rPr>
        <w:t>tysięcy</w:t>
      </w:r>
      <w:r w:rsidRPr="00056C5A">
        <w:rPr>
          <w:rFonts w:asciiTheme="minorHAnsi" w:hAnsiTheme="minorHAnsi" w:cstheme="minorHAnsi"/>
          <w:sz w:val="20"/>
          <w:szCs w:val="20"/>
        </w:rPr>
        <w:t xml:space="preserve"> opraw. </w:t>
      </w:r>
      <w:r w:rsidRPr="00056C5A">
        <w:rPr>
          <w:rFonts w:asciiTheme="minorHAnsi" w:hAnsiTheme="minorHAnsi" w:cstheme="minorHAnsi"/>
          <w:color w:val="231F20"/>
          <w:sz w:val="20"/>
          <w:szCs w:val="20"/>
        </w:rPr>
        <w:t>Planowana modernizacja w Warszawie będzie największym tego typu projektem w Polsce, a</w:t>
      </w:r>
      <w:r w:rsidR="00A075BD">
        <w:rPr>
          <w:rFonts w:asciiTheme="minorHAnsi" w:hAnsiTheme="minorHAnsi" w:cstheme="minorHAnsi"/>
          <w:color w:val="231F20"/>
          <w:sz w:val="20"/>
          <w:szCs w:val="20"/>
        </w:rPr>
        <w:t> </w:t>
      </w:r>
      <w:r w:rsidRPr="00056C5A">
        <w:rPr>
          <w:rFonts w:asciiTheme="minorHAnsi" w:hAnsiTheme="minorHAnsi" w:cstheme="minorHAnsi"/>
          <w:color w:val="231F20"/>
          <w:sz w:val="20"/>
          <w:szCs w:val="20"/>
        </w:rPr>
        <w:t xml:space="preserve">także jednym z największych w Europie. W latach 2017 – 2020 wymieniono 56 tysięcy opraw oświetleniowych </w:t>
      </w:r>
      <w:r w:rsidR="00BC415F">
        <w:rPr>
          <w:rFonts w:asciiTheme="minorHAnsi" w:hAnsiTheme="minorHAnsi" w:cstheme="minorHAnsi"/>
          <w:color w:val="231F20"/>
          <w:sz w:val="20"/>
          <w:szCs w:val="20"/>
        </w:rPr>
        <w:br/>
      </w:r>
      <w:r w:rsidRPr="00056C5A">
        <w:rPr>
          <w:rFonts w:asciiTheme="minorHAnsi" w:hAnsiTheme="minorHAnsi" w:cstheme="minorHAnsi"/>
          <w:color w:val="231F20"/>
          <w:sz w:val="20"/>
          <w:szCs w:val="20"/>
        </w:rPr>
        <w:t>w Manchesterze i 12 tysięcy w Londynie. W Santander w Hiszpanii zakończono niedawno wymianę 23 tysięcy opraw, a w Wiedniu trwa obecnie wymiana 60 tysięcy opraw.</w:t>
      </w:r>
    </w:p>
    <w:p w14:paraId="2BB6F97E" w14:textId="258E2E11" w:rsidR="009B4A99" w:rsidRPr="00273AB8" w:rsidRDefault="009B4A99" w:rsidP="00056C5A">
      <w:pPr>
        <w:jc w:val="both"/>
        <w:rPr>
          <w:rFonts w:asciiTheme="minorHAnsi" w:hAnsiTheme="minorHAnsi" w:cstheme="minorHAnsi"/>
          <w:color w:val="231F20"/>
          <w:sz w:val="14"/>
          <w:szCs w:val="14"/>
        </w:rPr>
      </w:pPr>
    </w:p>
    <w:p w14:paraId="5A8A0D1A" w14:textId="10F9A668" w:rsidR="009B4A99" w:rsidRPr="00056C5A" w:rsidRDefault="00201493" w:rsidP="00056C5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K</w:t>
      </w:r>
      <w:r w:rsidR="009B4A99" w:rsidRPr="00056C5A">
        <w:rPr>
          <w:rFonts w:asciiTheme="minorHAnsi" w:hAnsiTheme="minorHAnsi" w:cstheme="minorHAnsi"/>
          <w:color w:val="231F20"/>
          <w:sz w:val="20"/>
          <w:szCs w:val="20"/>
        </w:rPr>
        <w:t>olejn</w:t>
      </w:r>
      <w:r>
        <w:rPr>
          <w:rFonts w:asciiTheme="minorHAnsi" w:hAnsiTheme="minorHAnsi" w:cstheme="minorHAnsi"/>
          <w:color w:val="231F20"/>
          <w:sz w:val="20"/>
          <w:szCs w:val="20"/>
        </w:rPr>
        <w:t>ą</w:t>
      </w:r>
      <w:r w:rsidR="009B4A99" w:rsidRPr="00056C5A">
        <w:rPr>
          <w:rFonts w:asciiTheme="minorHAnsi" w:hAnsiTheme="minorHAnsi" w:cstheme="minorHAnsi"/>
          <w:color w:val="231F20"/>
          <w:sz w:val="20"/>
          <w:szCs w:val="20"/>
        </w:rPr>
        <w:t xml:space="preserve"> realizacj</w:t>
      </w:r>
      <w:r>
        <w:rPr>
          <w:rFonts w:asciiTheme="minorHAnsi" w:hAnsiTheme="minorHAnsi" w:cstheme="minorHAnsi"/>
          <w:color w:val="231F20"/>
          <w:sz w:val="20"/>
          <w:szCs w:val="20"/>
        </w:rPr>
        <w:t>ą</w:t>
      </w:r>
      <w:r w:rsidR="009B4A99" w:rsidRPr="00056C5A">
        <w:rPr>
          <w:rFonts w:asciiTheme="minorHAnsi" w:hAnsiTheme="minorHAnsi" w:cstheme="minorHAnsi"/>
          <w:color w:val="231F20"/>
          <w:sz w:val="20"/>
          <w:szCs w:val="20"/>
        </w:rPr>
        <w:t xml:space="preserve"> spółki w stolicy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jest projekt Południowej Obwodnicy Warszawy, strategicznej z perspektywy </w:t>
      </w:r>
      <w:r w:rsidR="00CE0F3D">
        <w:rPr>
          <w:rFonts w:asciiTheme="minorHAnsi" w:hAnsiTheme="minorHAnsi" w:cstheme="minorHAnsi"/>
          <w:sz w:val="20"/>
          <w:szCs w:val="20"/>
        </w:rPr>
        <w:t>miasta stołecznego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trasy komunikacyjnej. Otwarty w grudniu 2020 roku 15-kilometrowy odcinek </w:t>
      </w:r>
      <w:r w:rsidRPr="00056C5A">
        <w:rPr>
          <w:rFonts w:asciiTheme="minorHAnsi" w:hAnsiTheme="minorHAnsi" w:cstheme="minorHAnsi"/>
          <w:sz w:val="20"/>
          <w:szCs w:val="20"/>
        </w:rPr>
        <w:t>pomiędzy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Pr="00056C5A">
        <w:rPr>
          <w:rFonts w:asciiTheme="minorHAnsi" w:hAnsiTheme="minorHAnsi" w:cstheme="minorHAnsi"/>
          <w:sz w:val="20"/>
          <w:szCs w:val="20"/>
        </w:rPr>
        <w:t>węzłem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R1</w:t>
      </w:r>
      <w:r w:rsidR="00BC415F">
        <w:rPr>
          <w:rFonts w:asciiTheme="minorHAnsi" w:hAnsiTheme="minorHAnsi" w:cstheme="minorHAnsi"/>
          <w:sz w:val="20"/>
          <w:szCs w:val="20"/>
        </w:rPr>
        <w:t>4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(Przyczółkowa) a </w:t>
      </w:r>
      <w:r w:rsidRPr="00056C5A">
        <w:rPr>
          <w:rFonts w:asciiTheme="minorHAnsi" w:hAnsiTheme="minorHAnsi" w:cstheme="minorHAnsi"/>
          <w:sz w:val="20"/>
          <w:szCs w:val="20"/>
        </w:rPr>
        <w:t>węzłem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R15 (Wał </w:t>
      </w:r>
      <w:proofErr w:type="spellStart"/>
      <w:r w:rsidR="009B4A99" w:rsidRPr="00056C5A">
        <w:rPr>
          <w:rFonts w:asciiTheme="minorHAnsi" w:hAnsiTheme="minorHAnsi" w:cstheme="minorHAnsi"/>
          <w:sz w:val="20"/>
          <w:szCs w:val="20"/>
        </w:rPr>
        <w:t>Miedzeszyński</w:t>
      </w:r>
      <w:proofErr w:type="spellEnd"/>
      <w:r w:rsidR="009B4A99" w:rsidRPr="00056C5A">
        <w:rPr>
          <w:rFonts w:asciiTheme="minorHAnsi" w:hAnsiTheme="minorHAnsi" w:cstheme="minorHAnsi"/>
          <w:sz w:val="20"/>
          <w:szCs w:val="20"/>
        </w:rPr>
        <w:t>)</w:t>
      </w:r>
      <w:r w:rsidR="00094F3E">
        <w:rPr>
          <w:rFonts w:asciiTheme="minorHAnsi" w:hAnsiTheme="minorHAnsi" w:cstheme="minorHAnsi"/>
          <w:sz w:val="20"/>
          <w:szCs w:val="20"/>
        </w:rPr>
        <w:t>,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został w </w:t>
      </w:r>
      <w:proofErr w:type="spellStart"/>
      <w:r w:rsidR="009B4A99" w:rsidRPr="00056C5A">
        <w:rPr>
          <w:rFonts w:asciiTheme="minorHAnsi" w:hAnsiTheme="minorHAnsi" w:cstheme="minorHAnsi"/>
          <w:sz w:val="20"/>
          <w:szCs w:val="20"/>
        </w:rPr>
        <w:t>całości</w:t>
      </w:r>
      <w:proofErr w:type="spellEnd"/>
      <w:r w:rsidR="009B4A99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Pr="00056C5A">
        <w:rPr>
          <w:rFonts w:asciiTheme="minorHAnsi" w:hAnsiTheme="minorHAnsi" w:cstheme="minorHAnsi"/>
          <w:sz w:val="20"/>
          <w:szCs w:val="20"/>
        </w:rPr>
        <w:t>oświetlony</w:t>
      </w:r>
      <w:r w:rsidR="009B4A99" w:rsidRPr="00056C5A">
        <w:rPr>
          <w:rFonts w:asciiTheme="minorHAnsi" w:hAnsiTheme="minorHAnsi" w:cstheme="minorHAnsi"/>
          <w:sz w:val="20"/>
          <w:szCs w:val="20"/>
        </w:rPr>
        <w:t xml:space="preserve"> przez LUG. </w:t>
      </w:r>
    </w:p>
    <w:p w14:paraId="715B6B8A" w14:textId="77777777" w:rsidR="0009278B" w:rsidRPr="00273AB8" w:rsidRDefault="0009278B" w:rsidP="00056C5A">
      <w:pPr>
        <w:jc w:val="both"/>
        <w:rPr>
          <w:rFonts w:asciiTheme="minorHAnsi" w:hAnsiTheme="minorHAnsi" w:cstheme="minorHAnsi"/>
          <w:color w:val="231F20"/>
          <w:sz w:val="14"/>
          <w:szCs w:val="14"/>
        </w:rPr>
      </w:pPr>
    </w:p>
    <w:p w14:paraId="1F0CBD62" w14:textId="7F7D891B" w:rsidR="000A0439" w:rsidRPr="00056C5A" w:rsidRDefault="0081679B" w:rsidP="00056C5A">
      <w:pPr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Grupa</w:t>
      </w:r>
      <w:r w:rsidR="0009278B" w:rsidRPr="00056C5A">
        <w:rPr>
          <w:rFonts w:asciiTheme="minorHAnsi" w:hAnsiTheme="minorHAnsi" w:cstheme="minorHAnsi"/>
          <w:color w:val="231F20"/>
          <w:sz w:val="20"/>
          <w:szCs w:val="20"/>
        </w:rPr>
        <w:t xml:space="preserve"> ma również swój udział w rozbudowie infrastruktury towarzyszącej na najważniejszych drogach szybkiego ruchu w Polsce. </w:t>
      </w:r>
      <w:r w:rsidR="00201493" w:rsidRPr="00056C5A">
        <w:rPr>
          <w:rFonts w:asciiTheme="minorHAnsi" w:hAnsiTheme="minorHAnsi" w:cstheme="minorHAnsi"/>
          <w:color w:val="231F20"/>
          <w:sz w:val="20"/>
          <w:szCs w:val="20"/>
        </w:rPr>
        <w:t>Oświetlenie</w:t>
      </w:r>
      <w:r w:rsidR="000A0439" w:rsidRPr="00056C5A">
        <w:rPr>
          <w:rFonts w:asciiTheme="minorHAnsi" w:hAnsiTheme="minorHAnsi" w:cstheme="minorHAnsi"/>
          <w:color w:val="231F20"/>
          <w:sz w:val="20"/>
          <w:szCs w:val="20"/>
        </w:rPr>
        <w:t xml:space="preserve"> infrastrukturalne to jeden ze strategicznych kierunków rozwoju firmy. </w:t>
      </w:r>
      <w:r w:rsidR="00555941" w:rsidRPr="00056C5A">
        <w:rPr>
          <w:rFonts w:asciiTheme="minorHAnsi" w:hAnsiTheme="minorHAnsi" w:cstheme="minorHAnsi"/>
          <w:sz w:val="20"/>
          <w:szCs w:val="20"/>
        </w:rPr>
        <w:t>Z autostrady łączącej Berlin i Warszawę, na odcinku wzdłuż południowych granic aglomeracji poznańskiej, korzysta na dobę ponad 60 000 pojazdów. Z uwagi na liczne skrzyżowania autostr</w:t>
      </w:r>
      <w:r w:rsidR="0009278B" w:rsidRPr="00056C5A">
        <w:rPr>
          <w:rFonts w:asciiTheme="minorHAnsi" w:hAnsiTheme="minorHAnsi" w:cstheme="minorHAnsi"/>
          <w:sz w:val="20"/>
          <w:szCs w:val="20"/>
        </w:rPr>
        <w:t>adowe i wjazdy do miasta, ten sześcio</w:t>
      </w:r>
      <w:r w:rsidR="00555941" w:rsidRPr="00056C5A">
        <w:rPr>
          <w:rFonts w:asciiTheme="minorHAnsi" w:hAnsiTheme="minorHAnsi" w:cstheme="minorHAnsi"/>
          <w:sz w:val="20"/>
          <w:szCs w:val="20"/>
        </w:rPr>
        <w:t>kilometrowy odcinek autostrady uznawany jest za jedną z najbardziej krytycznych infrastruktur drogowych w Polsce, przy</w:t>
      </w:r>
      <w:r w:rsidR="00A075BD">
        <w:rPr>
          <w:rFonts w:asciiTheme="minorHAnsi" w:hAnsiTheme="minorHAnsi" w:cstheme="minorHAnsi"/>
          <w:sz w:val="20"/>
          <w:szCs w:val="20"/>
        </w:rPr>
        <w:t> </w:t>
      </w:r>
      <w:r w:rsidR="00555941" w:rsidRPr="00056C5A">
        <w:rPr>
          <w:rFonts w:asciiTheme="minorHAnsi" w:hAnsiTheme="minorHAnsi" w:cstheme="minorHAnsi"/>
          <w:sz w:val="20"/>
          <w:szCs w:val="20"/>
        </w:rPr>
        <w:t>której</w:t>
      </w:r>
      <w:r w:rsidR="00A075BD">
        <w:rPr>
          <w:rFonts w:asciiTheme="minorHAnsi" w:hAnsiTheme="minorHAnsi" w:cstheme="minorHAnsi"/>
          <w:sz w:val="20"/>
          <w:szCs w:val="20"/>
        </w:rPr>
        <w:t> </w:t>
      </w:r>
      <w:r w:rsidR="00555941" w:rsidRPr="00056C5A">
        <w:rPr>
          <w:rFonts w:asciiTheme="minorHAnsi" w:hAnsiTheme="minorHAnsi" w:cstheme="minorHAnsi"/>
          <w:sz w:val="20"/>
          <w:szCs w:val="20"/>
        </w:rPr>
        <w:t xml:space="preserve">kluczowego znaczenia nabierają najwyższe standardy jakości oświetlenia, zarządzania, komunikacji </w:t>
      </w:r>
      <w:r w:rsidR="00CE0F3D">
        <w:rPr>
          <w:rFonts w:asciiTheme="minorHAnsi" w:hAnsiTheme="minorHAnsi" w:cstheme="minorHAnsi"/>
          <w:sz w:val="20"/>
          <w:szCs w:val="20"/>
        </w:rPr>
        <w:br/>
      </w:r>
      <w:r w:rsidR="00555941" w:rsidRPr="00056C5A">
        <w:rPr>
          <w:rFonts w:asciiTheme="minorHAnsi" w:hAnsiTheme="minorHAnsi" w:cstheme="minorHAnsi"/>
          <w:sz w:val="20"/>
          <w:szCs w:val="20"/>
        </w:rPr>
        <w:t>i niezawodności. </w:t>
      </w:r>
      <w:r w:rsidR="0009278B" w:rsidRPr="00056C5A">
        <w:rPr>
          <w:rFonts w:asciiTheme="minorHAnsi" w:hAnsiTheme="minorHAnsi" w:cstheme="minorHAnsi"/>
          <w:sz w:val="20"/>
          <w:szCs w:val="20"/>
        </w:rPr>
        <w:t>D</w:t>
      </w:r>
      <w:r w:rsidR="00555941" w:rsidRPr="00056C5A">
        <w:rPr>
          <w:rFonts w:asciiTheme="minorHAnsi" w:hAnsiTheme="minorHAnsi" w:cstheme="minorHAnsi"/>
          <w:sz w:val="20"/>
          <w:szCs w:val="20"/>
        </w:rPr>
        <w:t xml:space="preserve">o oświetlenia </w:t>
      </w:r>
      <w:r w:rsidR="000A0439" w:rsidRPr="00056C5A">
        <w:rPr>
          <w:rFonts w:asciiTheme="minorHAnsi" w:hAnsiTheme="minorHAnsi" w:cstheme="minorHAnsi"/>
          <w:sz w:val="20"/>
          <w:szCs w:val="20"/>
        </w:rPr>
        <w:t>6 kilometrowego</w:t>
      </w:r>
      <w:r w:rsidR="00555941" w:rsidRPr="00056C5A">
        <w:rPr>
          <w:rFonts w:asciiTheme="minorHAnsi" w:hAnsiTheme="minorHAnsi" w:cstheme="minorHAnsi"/>
          <w:sz w:val="20"/>
          <w:szCs w:val="20"/>
        </w:rPr>
        <w:t xml:space="preserve"> odcinka autostrady 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A2 </w:t>
      </w:r>
      <w:proofErr w:type="spellStart"/>
      <w:r w:rsidR="000A0439" w:rsidRPr="00056C5A">
        <w:rPr>
          <w:rFonts w:asciiTheme="minorHAnsi" w:hAnsiTheme="minorHAnsi" w:cstheme="minorHAnsi"/>
          <w:sz w:val="20"/>
          <w:szCs w:val="20"/>
        </w:rPr>
        <w:t>wzdłuz</w:t>
      </w:r>
      <w:proofErr w:type="spellEnd"/>
      <w:r w:rsidR="000A0439" w:rsidRPr="00056C5A">
        <w:rPr>
          <w:rFonts w:asciiTheme="minorHAnsi" w:hAnsiTheme="minorHAnsi" w:cstheme="minorHAnsi"/>
          <w:sz w:val="20"/>
          <w:szCs w:val="20"/>
        </w:rPr>
        <w:t xml:space="preserve">̇ południowych granic Poznania </w:t>
      </w:r>
      <w:r w:rsidR="00555941" w:rsidRPr="00056C5A">
        <w:rPr>
          <w:rFonts w:asciiTheme="minorHAnsi" w:hAnsiTheme="minorHAnsi" w:cstheme="minorHAnsi"/>
          <w:sz w:val="20"/>
          <w:szCs w:val="20"/>
        </w:rPr>
        <w:t>wykorzyst</w:t>
      </w:r>
      <w:r w:rsidR="0009278B" w:rsidRPr="00056C5A">
        <w:rPr>
          <w:rFonts w:asciiTheme="minorHAnsi" w:hAnsiTheme="minorHAnsi" w:cstheme="minorHAnsi"/>
          <w:sz w:val="20"/>
          <w:szCs w:val="20"/>
        </w:rPr>
        <w:t xml:space="preserve">ano 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1213 opraw infrastrukturalnych LUG z </w:t>
      </w:r>
      <w:r w:rsidR="00201493" w:rsidRPr="00056C5A">
        <w:rPr>
          <w:rFonts w:asciiTheme="minorHAnsi" w:hAnsiTheme="minorHAnsi" w:cstheme="minorHAnsi"/>
          <w:sz w:val="20"/>
          <w:szCs w:val="20"/>
        </w:rPr>
        <w:t>wewnętrznymi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 kontrolerami </w:t>
      </w:r>
      <w:proofErr w:type="spellStart"/>
      <w:r w:rsidR="000A0439" w:rsidRPr="00056C5A">
        <w:rPr>
          <w:rFonts w:asciiTheme="minorHAnsi" w:hAnsiTheme="minorHAnsi" w:cstheme="minorHAnsi"/>
          <w:sz w:val="20"/>
          <w:szCs w:val="20"/>
        </w:rPr>
        <w:t>iBLOC</w:t>
      </w:r>
      <w:proofErr w:type="spellEnd"/>
      <w:r w:rsidR="000A0439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653355" w:rsidRPr="00056C5A">
        <w:rPr>
          <w:rFonts w:asciiTheme="minorHAnsi" w:hAnsiTheme="minorHAnsi" w:cstheme="minorHAnsi"/>
          <w:sz w:val="20"/>
          <w:szCs w:val="20"/>
        </w:rPr>
        <w:t>wyposażonymi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CE0F3D">
        <w:rPr>
          <w:rFonts w:asciiTheme="minorHAnsi" w:hAnsiTheme="minorHAnsi" w:cstheme="minorHAnsi"/>
          <w:sz w:val="20"/>
          <w:szCs w:val="20"/>
        </w:rPr>
        <w:br/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w </w:t>
      </w:r>
      <w:r w:rsidR="00653355" w:rsidRPr="00056C5A">
        <w:rPr>
          <w:rFonts w:asciiTheme="minorHAnsi" w:hAnsiTheme="minorHAnsi" w:cstheme="minorHAnsi"/>
          <w:sz w:val="20"/>
          <w:szCs w:val="20"/>
        </w:rPr>
        <w:t>urządzenia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 do pomiaru mocy oraz 14 </w:t>
      </w:r>
      <w:proofErr w:type="spellStart"/>
      <w:r w:rsidR="000A0439" w:rsidRPr="00056C5A">
        <w:rPr>
          <w:rFonts w:asciiTheme="minorHAnsi" w:hAnsiTheme="minorHAnsi" w:cstheme="minorHAnsi"/>
          <w:sz w:val="20"/>
          <w:szCs w:val="20"/>
        </w:rPr>
        <w:t>gatewayów</w:t>
      </w:r>
      <w:proofErr w:type="spellEnd"/>
      <w:r w:rsidR="000A0439" w:rsidRPr="00056C5A">
        <w:rPr>
          <w:rFonts w:asciiTheme="minorHAnsi" w:hAnsiTheme="minorHAnsi" w:cstheme="minorHAnsi"/>
          <w:sz w:val="20"/>
          <w:szCs w:val="20"/>
        </w:rPr>
        <w:t xml:space="preserve"> HUBiot-2. Wszystkie oprawy </w:t>
      </w:r>
      <w:r w:rsidR="00653355" w:rsidRPr="00056C5A">
        <w:rPr>
          <w:rFonts w:asciiTheme="minorHAnsi" w:hAnsiTheme="minorHAnsi" w:cstheme="minorHAnsi"/>
          <w:sz w:val="20"/>
          <w:szCs w:val="20"/>
        </w:rPr>
        <w:t>współpracują</w:t>
      </w:r>
      <w:r w:rsidR="000A0439" w:rsidRPr="00056C5A">
        <w:rPr>
          <w:rFonts w:asciiTheme="minorHAnsi" w:hAnsiTheme="minorHAnsi" w:cstheme="minorHAnsi"/>
          <w:sz w:val="20"/>
          <w:szCs w:val="20"/>
        </w:rPr>
        <w:t>̨ z autorskim systemem sterowania klasy smart LUG URBAN</w:t>
      </w:r>
      <w:r w:rsidR="00555941" w:rsidRPr="00056C5A">
        <w:rPr>
          <w:rFonts w:asciiTheme="minorHAnsi" w:hAnsiTheme="minorHAnsi" w:cstheme="minorHAnsi"/>
          <w:sz w:val="20"/>
          <w:szCs w:val="20"/>
        </w:rPr>
        <w:t>.</w:t>
      </w:r>
      <w:r w:rsidR="0009278B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555941" w:rsidRPr="00056C5A">
        <w:rPr>
          <w:rFonts w:asciiTheme="minorHAnsi" w:hAnsiTheme="minorHAnsi" w:cstheme="minorHAnsi"/>
          <w:sz w:val="20"/>
          <w:szCs w:val="20"/>
        </w:rPr>
        <w:t>To pierwsza w tej części Europy instalacja, której sterowanie daje możliwość dynamicznej zmiany natężenia oświetlenia i dostosowania go do klasy oświetleniowej drogi, a także do</w:t>
      </w:r>
      <w:r w:rsidR="00A075BD">
        <w:rPr>
          <w:rFonts w:asciiTheme="minorHAnsi" w:hAnsiTheme="minorHAnsi" w:cstheme="minorHAnsi"/>
          <w:sz w:val="20"/>
          <w:szCs w:val="20"/>
        </w:rPr>
        <w:t> </w:t>
      </w:r>
      <w:r w:rsidR="00555941" w:rsidRPr="00056C5A">
        <w:rPr>
          <w:rFonts w:asciiTheme="minorHAnsi" w:hAnsiTheme="minorHAnsi" w:cstheme="minorHAnsi"/>
          <w:sz w:val="20"/>
          <w:szCs w:val="20"/>
        </w:rPr>
        <w:t>natężenia ruchu.</w:t>
      </w:r>
      <w:r w:rsidR="0009278B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0A0439" w:rsidRPr="00056C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8609B4" w14:textId="77777777" w:rsidR="000A0439" w:rsidRPr="00273AB8" w:rsidRDefault="000A0439" w:rsidP="00056C5A">
      <w:pPr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3BD19269" w14:textId="783A808F" w:rsidR="00555941" w:rsidRPr="00056C5A" w:rsidRDefault="0009278B" w:rsidP="00056C5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56C5A">
        <w:rPr>
          <w:rFonts w:asciiTheme="minorHAnsi" w:hAnsiTheme="minorHAnsi" w:cstheme="minorHAnsi"/>
          <w:color w:val="000000"/>
          <w:sz w:val="20"/>
          <w:szCs w:val="20"/>
        </w:rPr>
        <w:t xml:space="preserve">Kolejnym projektem przygotowanym przez LUG jest oświetlenie zamontowane na długości 15 kilometrów drogi ekspresowej S3 łączącej </w:t>
      </w:r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 xml:space="preserve">Szczecin z Dolnym Śląskiem - to jedna z najważniejszych arterii infrastrukturalnych na mapie Polski. W ramach wygranego przetargu, oprawy oświetlenia drogowego firmy LUG </w:t>
      </w:r>
      <w:proofErr w:type="spellStart"/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>Light</w:t>
      </w:r>
      <w:proofErr w:type="spellEnd"/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>Factory</w:t>
      </w:r>
      <w:proofErr w:type="spellEnd"/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 xml:space="preserve"> zostaną tu</w:t>
      </w:r>
      <w:r w:rsidR="00A075B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>zamontowane na dwóch newralgicznych odcinkach - w podstrefie miasta Nowa Sól oraz na węźle Sulechów-Świebodzin-</w:t>
      </w:r>
      <w:r w:rsidR="00653355" w:rsidRPr="00056C5A">
        <w:rPr>
          <w:rFonts w:asciiTheme="minorHAnsi" w:hAnsiTheme="minorHAnsi" w:cstheme="minorHAnsi"/>
          <w:color w:val="000000"/>
          <w:sz w:val="20"/>
          <w:szCs w:val="20"/>
        </w:rPr>
        <w:t>Międzyrzecz</w:t>
      </w:r>
      <w:r w:rsidR="00553D0F" w:rsidRPr="00056C5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EF1B046" w14:textId="77777777" w:rsidR="00555941" w:rsidRPr="00273AB8" w:rsidRDefault="00555941" w:rsidP="00056C5A">
      <w:pPr>
        <w:jc w:val="both"/>
        <w:rPr>
          <w:rFonts w:asciiTheme="minorHAnsi" w:hAnsiTheme="minorHAnsi" w:cstheme="minorHAnsi"/>
          <w:color w:val="C00000"/>
          <w:sz w:val="14"/>
          <w:szCs w:val="14"/>
        </w:rPr>
      </w:pPr>
    </w:p>
    <w:p w14:paraId="6ACB3D43" w14:textId="0BCC484E" w:rsidR="003867A6" w:rsidRPr="00056C5A" w:rsidRDefault="00056C5A" w:rsidP="00056C5A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Zrównoważony rozwój</w:t>
      </w:r>
    </w:p>
    <w:p w14:paraId="4C208F33" w14:textId="4803693F" w:rsidR="00C61C4A" w:rsidRPr="00056C5A" w:rsidRDefault="00553D0F" w:rsidP="00056C5A">
      <w:pPr>
        <w:jc w:val="both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 xml:space="preserve">W roku 2020 Grupa </w:t>
      </w:r>
      <w:r w:rsidR="003867A6" w:rsidRPr="00056C5A">
        <w:rPr>
          <w:rFonts w:asciiTheme="minorHAnsi" w:hAnsiTheme="minorHAnsi" w:cstheme="minorHAnsi"/>
          <w:sz w:val="20"/>
          <w:szCs w:val="20"/>
        </w:rPr>
        <w:t>LUG</w:t>
      </w:r>
      <w:r w:rsidRPr="00056C5A">
        <w:rPr>
          <w:rFonts w:asciiTheme="minorHAnsi" w:hAnsiTheme="minorHAnsi" w:cstheme="minorHAnsi"/>
          <w:sz w:val="20"/>
          <w:szCs w:val="20"/>
        </w:rPr>
        <w:t xml:space="preserve"> postawiła na zrównoważony rozwój. Spółka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 dokonał</w:t>
      </w:r>
      <w:r w:rsidR="00CE0F3D">
        <w:rPr>
          <w:rFonts w:asciiTheme="minorHAnsi" w:hAnsiTheme="minorHAnsi" w:cstheme="minorHAnsi"/>
          <w:sz w:val="20"/>
          <w:szCs w:val="20"/>
        </w:rPr>
        <w:t>a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 an</w:t>
      </w:r>
      <w:r w:rsidRPr="00056C5A">
        <w:rPr>
          <w:rFonts w:asciiTheme="minorHAnsi" w:hAnsiTheme="minorHAnsi" w:cstheme="minorHAnsi"/>
          <w:sz w:val="20"/>
          <w:szCs w:val="20"/>
        </w:rPr>
        <w:t xml:space="preserve">alizy </w:t>
      </w:r>
      <w:r w:rsidR="000611A8" w:rsidRPr="00056C5A">
        <w:rPr>
          <w:rFonts w:asciiTheme="minorHAnsi" w:hAnsiTheme="minorHAnsi" w:cstheme="minorHAnsi"/>
          <w:sz w:val="20"/>
          <w:szCs w:val="20"/>
        </w:rPr>
        <w:t xml:space="preserve">zagrożeń </w:t>
      </w:r>
      <w:r w:rsidRPr="00056C5A">
        <w:rPr>
          <w:rFonts w:asciiTheme="minorHAnsi" w:hAnsiTheme="minorHAnsi" w:cstheme="minorHAnsi"/>
          <w:sz w:val="20"/>
          <w:szCs w:val="20"/>
        </w:rPr>
        <w:t>klimatycznych mającej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 na celu identyfikację krótko-, średnio- i długoterminowych </w:t>
      </w:r>
      <w:proofErr w:type="spellStart"/>
      <w:r w:rsidR="003867A6" w:rsidRPr="00056C5A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3867A6" w:rsidRPr="00056C5A">
        <w:rPr>
          <w:rFonts w:asciiTheme="minorHAnsi" w:hAnsiTheme="minorHAnsi" w:cstheme="minorHAnsi"/>
          <w:sz w:val="20"/>
          <w:szCs w:val="20"/>
        </w:rPr>
        <w:t xml:space="preserve"> fizycznych i transformacyjnych związanych ze zmianą klimatu. Wyniki będą stanowić bazę do sformułowania i przyjęcia polityki klimatycznej </w:t>
      </w:r>
      <w:r w:rsidR="00570609">
        <w:rPr>
          <w:rFonts w:asciiTheme="minorHAnsi" w:hAnsiTheme="minorHAnsi" w:cstheme="minorHAnsi"/>
          <w:sz w:val="20"/>
          <w:szCs w:val="20"/>
        </w:rPr>
        <w:t xml:space="preserve">firmy </w:t>
      </w:r>
      <w:r w:rsidR="003867A6" w:rsidRPr="00056C5A">
        <w:rPr>
          <w:rFonts w:asciiTheme="minorHAnsi" w:hAnsiTheme="minorHAnsi" w:cstheme="minorHAnsi"/>
          <w:sz w:val="20"/>
          <w:szCs w:val="20"/>
        </w:rPr>
        <w:t>w 2021 roku.</w:t>
      </w:r>
      <w:r w:rsidR="000611A8" w:rsidRPr="00056C5A">
        <w:rPr>
          <w:rFonts w:asciiTheme="minorHAnsi" w:hAnsiTheme="minorHAnsi" w:cstheme="minorHAnsi"/>
          <w:sz w:val="20"/>
          <w:szCs w:val="20"/>
        </w:rPr>
        <w:t xml:space="preserve"> Starania Grupy Kapitałowej 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LUG </w:t>
      </w:r>
      <w:r w:rsidR="000611A8" w:rsidRPr="00056C5A">
        <w:rPr>
          <w:rFonts w:asciiTheme="minorHAnsi" w:hAnsiTheme="minorHAnsi" w:cstheme="minorHAnsi"/>
          <w:sz w:val="20"/>
          <w:szCs w:val="20"/>
        </w:rPr>
        <w:t xml:space="preserve">związane ze zrównoważonym rozwojem zostały wysoko ocenione przez niezależnych ekspertów. </w:t>
      </w:r>
      <w:r w:rsidR="00570609">
        <w:rPr>
          <w:rFonts w:asciiTheme="minorHAnsi" w:hAnsiTheme="minorHAnsi" w:cstheme="minorHAnsi"/>
          <w:sz w:val="20"/>
          <w:szCs w:val="20"/>
        </w:rPr>
        <w:t xml:space="preserve">W minionym roku spółka </w:t>
      </w:r>
      <w:r w:rsidR="003867A6" w:rsidRPr="00056C5A">
        <w:rPr>
          <w:rFonts w:asciiTheme="minorHAnsi" w:hAnsiTheme="minorHAnsi" w:cstheme="minorHAnsi"/>
          <w:sz w:val="20"/>
          <w:szCs w:val="20"/>
        </w:rPr>
        <w:t>otrzymał</w:t>
      </w:r>
      <w:r w:rsidR="000611A8" w:rsidRPr="00056C5A">
        <w:rPr>
          <w:rFonts w:asciiTheme="minorHAnsi" w:hAnsiTheme="minorHAnsi" w:cstheme="minorHAnsi"/>
          <w:sz w:val="20"/>
          <w:szCs w:val="20"/>
        </w:rPr>
        <w:t>a</w:t>
      </w:r>
      <w:r w:rsidR="00BC2F65" w:rsidRPr="00056C5A">
        <w:rPr>
          <w:rFonts w:asciiTheme="minorHAnsi" w:hAnsiTheme="minorHAnsi" w:cstheme="minorHAnsi"/>
          <w:sz w:val="20"/>
          <w:szCs w:val="20"/>
        </w:rPr>
        <w:t xml:space="preserve"> </w:t>
      </w:r>
      <w:r w:rsidR="003867A6" w:rsidRPr="00056C5A">
        <w:rPr>
          <w:rFonts w:asciiTheme="minorHAnsi" w:hAnsiTheme="minorHAnsi" w:cstheme="minorHAnsi"/>
          <w:sz w:val="20"/>
          <w:szCs w:val="20"/>
        </w:rPr>
        <w:t>wyróżnienie</w:t>
      </w:r>
      <w:r w:rsidR="003867A6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w 9 edycji Konkursu Polska Firma – Międzynarodowy Czempion w kategorii </w:t>
      </w:r>
      <w:r w:rsidR="003867A6" w:rsidRPr="00056C5A">
        <w:rPr>
          <w:rFonts w:asciiTheme="minorHAnsi" w:hAnsiTheme="minorHAnsi" w:cstheme="minorHAnsi"/>
          <w:i/>
          <w:iCs/>
          <w:sz w:val="20"/>
          <w:szCs w:val="20"/>
        </w:rPr>
        <w:t>Promotor ekologii na rynkach zagranicznych</w:t>
      </w:r>
      <w:r w:rsidR="00BC2F65" w:rsidRPr="00056C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C2F65" w:rsidRPr="00056C5A">
        <w:rPr>
          <w:rFonts w:asciiTheme="minorHAnsi" w:hAnsiTheme="minorHAnsi" w:cstheme="minorHAnsi"/>
          <w:iCs/>
          <w:sz w:val="20"/>
          <w:szCs w:val="20"/>
        </w:rPr>
        <w:t xml:space="preserve">oraz trzeci </w:t>
      </w:r>
      <w:r w:rsidR="00BC2F65" w:rsidRPr="00056C5A">
        <w:rPr>
          <w:rFonts w:asciiTheme="minorHAnsi" w:hAnsiTheme="minorHAnsi" w:cstheme="minorHAnsi"/>
          <w:sz w:val="20"/>
          <w:szCs w:val="20"/>
        </w:rPr>
        <w:t xml:space="preserve">wynik spośród 151 </w:t>
      </w:r>
      <w:r w:rsidR="00BC2F65" w:rsidRPr="00056C5A">
        <w:rPr>
          <w:rFonts w:asciiTheme="minorHAnsi" w:hAnsiTheme="minorHAnsi" w:cstheme="minorHAnsi"/>
          <w:sz w:val="20"/>
          <w:szCs w:val="20"/>
        </w:rPr>
        <w:lastRenderedPageBreak/>
        <w:t>przebadanych największych spółek w Polsce, w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 II edycji Badania </w:t>
      </w:r>
      <w:proofErr w:type="spellStart"/>
      <w:r w:rsidR="003867A6" w:rsidRPr="00056C5A">
        <w:rPr>
          <w:rFonts w:asciiTheme="minorHAnsi" w:hAnsiTheme="minorHAnsi" w:cstheme="minorHAnsi"/>
          <w:sz w:val="20"/>
          <w:szCs w:val="20"/>
        </w:rPr>
        <w:t>Crisis</w:t>
      </w:r>
      <w:proofErr w:type="spellEnd"/>
      <w:r w:rsidR="003867A6" w:rsidRPr="00056C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867A6" w:rsidRPr="00056C5A">
        <w:rPr>
          <w:rFonts w:asciiTheme="minorHAnsi" w:hAnsiTheme="minorHAnsi" w:cstheme="minorHAnsi"/>
          <w:sz w:val="20"/>
          <w:szCs w:val="20"/>
        </w:rPr>
        <w:t>Climate</w:t>
      </w:r>
      <w:proofErr w:type="spellEnd"/>
      <w:r w:rsidR="003867A6" w:rsidRPr="00056C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867A6" w:rsidRPr="00056C5A">
        <w:rPr>
          <w:rFonts w:asciiTheme="minorHAnsi" w:hAnsiTheme="minorHAnsi" w:cstheme="minorHAnsi"/>
          <w:sz w:val="20"/>
          <w:szCs w:val="20"/>
        </w:rPr>
        <w:t>Awareness</w:t>
      </w:r>
      <w:proofErr w:type="spellEnd"/>
      <w:r w:rsidR="003867A6" w:rsidRPr="00056C5A">
        <w:rPr>
          <w:rFonts w:asciiTheme="minorHAnsi" w:hAnsiTheme="minorHAnsi" w:cstheme="minorHAnsi"/>
          <w:sz w:val="20"/>
          <w:szCs w:val="20"/>
        </w:rPr>
        <w:t xml:space="preserve"> 2020</w:t>
      </w:r>
      <w:r w:rsidR="00BC2F65" w:rsidRPr="00056C5A">
        <w:rPr>
          <w:rFonts w:asciiTheme="minorHAnsi" w:hAnsiTheme="minorHAnsi" w:cstheme="minorHAnsi"/>
          <w:sz w:val="20"/>
          <w:szCs w:val="20"/>
        </w:rPr>
        <w:t>. T</w:t>
      </w:r>
      <w:r w:rsidR="003867A6" w:rsidRPr="00056C5A">
        <w:rPr>
          <w:rFonts w:asciiTheme="minorHAnsi" w:hAnsiTheme="minorHAnsi" w:cstheme="minorHAnsi"/>
          <w:sz w:val="20"/>
          <w:szCs w:val="20"/>
        </w:rPr>
        <w:t>ym samym</w:t>
      </w:r>
      <w:r w:rsidR="00BC2F65" w:rsidRPr="00056C5A">
        <w:rPr>
          <w:rFonts w:asciiTheme="minorHAnsi" w:hAnsiTheme="minorHAnsi" w:cstheme="minorHAnsi"/>
          <w:sz w:val="20"/>
          <w:szCs w:val="20"/>
        </w:rPr>
        <w:t xml:space="preserve"> LUG</w:t>
      </w:r>
      <w:r w:rsidR="003867A6" w:rsidRPr="00056C5A">
        <w:rPr>
          <w:rFonts w:asciiTheme="minorHAnsi" w:hAnsiTheme="minorHAnsi" w:cstheme="minorHAnsi"/>
          <w:sz w:val="20"/>
          <w:szCs w:val="20"/>
        </w:rPr>
        <w:t xml:space="preserve"> po raz drugi znalazł się w gronie firm wyróżnionych tytułem Spółki Świadomej Klimatycznie. </w:t>
      </w:r>
    </w:p>
    <w:p w14:paraId="2AE02368" w14:textId="394B69E5" w:rsidR="00C61C4A" w:rsidRDefault="00C61C4A" w:rsidP="00056C5A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1D2A3941" w14:textId="77777777" w:rsidR="00653355" w:rsidRPr="00056C5A" w:rsidRDefault="00653355" w:rsidP="00056C5A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75E293D1" w14:textId="48798BDE" w:rsidR="000611A8" w:rsidRDefault="009D3845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Perspektywy rozwoju w dobie pandemii</w:t>
      </w:r>
    </w:p>
    <w:p w14:paraId="04D2F81C" w14:textId="7948E447" w:rsidR="009D3845" w:rsidRPr="00C73AF9" w:rsidRDefault="009D3845" w:rsidP="009D3845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3AF9">
        <w:rPr>
          <w:rFonts w:asciiTheme="minorHAnsi" w:eastAsia="Arial" w:hAnsiTheme="minorHAnsi" w:cstheme="minorHAnsi"/>
          <w:sz w:val="20"/>
          <w:szCs w:val="20"/>
        </w:rPr>
        <w:t xml:space="preserve">Prognozy dotyczące tempa rozwoju gospodarek na całym świecie zostały zmienione na skutek ogłoszonej w drugim kwartale </w:t>
      </w:r>
      <w:r>
        <w:rPr>
          <w:rFonts w:asciiTheme="minorHAnsi" w:eastAsia="Arial" w:hAnsiTheme="minorHAnsi" w:cstheme="minorHAnsi"/>
          <w:sz w:val="20"/>
          <w:szCs w:val="20"/>
        </w:rPr>
        <w:t xml:space="preserve">ub.r. 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pandemii </w:t>
      </w:r>
      <w:proofErr w:type="spellStart"/>
      <w:r w:rsidRPr="00C73AF9">
        <w:rPr>
          <w:rFonts w:asciiTheme="minorHAnsi" w:eastAsia="Arial" w:hAnsiTheme="minorHAnsi" w:cstheme="minorHAnsi"/>
          <w:sz w:val="20"/>
          <w:szCs w:val="20"/>
        </w:rPr>
        <w:t>koronawirusa</w:t>
      </w:r>
      <w:proofErr w:type="spellEnd"/>
      <w:r w:rsidRPr="00C73AF9">
        <w:rPr>
          <w:rFonts w:asciiTheme="minorHAnsi" w:eastAsia="Arial" w:hAnsiTheme="minorHAnsi" w:cstheme="minorHAnsi"/>
          <w:sz w:val="20"/>
          <w:szCs w:val="20"/>
        </w:rPr>
        <w:t xml:space="preserve">. </w:t>
      </w:r>
      <w:r>
        <w:rPr>
          <w:rFonts w:asciiTheme="minorHAnsi" w:eastAsia="Arial" w:hAnsiTheme="minorHAnsi" w:cstheme="minorHAnsi"/>
          <w:sz w:val="20"/>
          <w:szCs w:val="20"/>
        </w:rPr>
        <w:t xml:space="preserve">Wirus SARS-CoV-2 </w:t>
      </w:r>
      <w:r w:rsidRPr="00C73AF9">
        <w:rPr>
          <w:rFonts w:asciiTheme="minorHAnsi" w:eastAsia="Arial" w:hAnsiTheme="minorHAnsi" w:cstheme="minorHAnsi"/>
          <w:sz w:val="20"/>
          <w:szCs w:val="20"/>
        </w:rPr>
        <w:t>skorygował w dół wszystkie dotychczasowe prognozy</w:t>
      </w:r>
      <w:r>
        <w:rPr>
          <w:rFonts w:asciiTheme="minorHAnsi" w:eastAsia="Arial" w:hAnsiTheme="minorHAnsi" w:cstheme="minorHAnsi"/>
          <w:sz w:val="20"/>
          <w:szCs w:val="20"/>
        </w:rPr>
        <w:t>,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653355">
        <w:rPr>
          <w:rFonts w:asciiTheme="minorHAnsi" w:eastAsia="Arial" w:hAnsiTheme="minorHAnsi" w:cstheme="minorHAnsi"/>
          <w:sz w:val="20"/>
          <w:szCs w:val="20"/>
        </w:rPr>
        <w:br/>
      </w:r>
      <w:r w:rsidRPr="00C73AF9">
        <w:rPr>
          <w:rFonts w:asciiTheme="minorHAnsi" w:eastAsia="Arial" w:hAnsiTheme="minorHAnsi" w:cstheme="minorHAnsi"/>
          <w:sz w:val="20"/>
          <w:szCs w:val="20"/>
        </w:rPr>
        <w:t>w tym także te dotyczące rozwoju rynku oświetleniowego. Spadły one aż o 21 procent w </w:t>
      </w:r>
      <w:r w:rsidR="00094F3E">
        <w:rPr>
          <w:rFonts w:asciiTheme="minorHAnsi" w:eastAsia="Arial" w:hAnsiTheme="minorHAnsi" w:cstheme="minorHAnsi"/>
          <w:sz w:val="20"/>
          <w:szCs w:val="20"/>
        </w:rPr>
        <w:t>stosunku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 do prognoz sprzed pandemii. Pr</w:t>
      </w:r>
      <w:r w:rsidR="00570609">
        <w:rPr>
          <w:rFonts w:asciiTheme="minorHAnsi" w:eastAsia="Arial" w:hAnsiTheme="minorHAnsi" w:cstheme="minorHAnsi"/>
          <w:sz w:val="20"/>
          <w:szCs w:val="20"/>
        </w:rPr>
        <w:t xml:space="preserve">zewidywane 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tempo wzrostu </w:t>
      </w:r>
      <w:r w:rsidR="00BC415F" w:rsidRPr="00C73AF9">
        <w:rPr>
          <w:rFonts w:asciiTheme="minorHAnsi" w:eastAsia="Arial" w:hAnsiTheme="minorHAnsi" w:cstheme="minorHAnsi"/>
          <w:sz w:val="20"/>
          <w:szCs w:val="20"/>
        </w:rPr>
        <w:t xml:space="preserve">rynku </w:t>
      </w:r>
      <w:r w:rsidRPr="00C73AF9">
        <w:rPr>
          <w:rFonts w:asciiTheme="minorHAnsi" w:eastAsia="Arial" w:hAnsiTheme="minorHAnsi" w:cstheme="minorHAnsi"/>
          <w:sz w:val="20"/>
          <w:szCs w:val="20"/>
        </w:rPr>
        <w:t>inteligentnego</w:t>
      </w:r>
      <w:r w:rsidR="00BC415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C73AF9">
        <w:rPr>
          <w:rFonts w:asciiTheme="minorHAnsi" w:eastAsia="Arial" w:hAnsiTheme="minorHAnsi" w:cstheme="minorHAnsi"/>
          <w:sz w:val="20"/>
          <w:szCs w:val="20"/>
        </w:rPr>
        <w:t>oświetlenia LED w latach 2020-2025 ma wynieść 18</w:t>
      </w:r>
      <w:r>
        <w:rPr>
          <w:rFonts w:asciiTheme="minorHAnsi" w:eastAsia="Arial" w:hAnsiTheme="minorHAnsi" w:cstheme="minorHAnsi"/>
          <w:sz w:val="20"/>
          <w:szCs w:val="20"/>
        </w:rPr>
        <w:t> </w:t>
      </w:r>
      <w:r w:rsidRPr="00C73AF9">
        <w:rPr>
          <w:rFonts w:asciiTheme="minorHAnsi" w:eastAsia="Arial" w:hAnsiTheme="minorHAnsi" w:cstheme="minorHAnsi"/>
          <w:sz w:val="20"/>
          <w:szCs w:val="20"/>
        </w:rPr>
        <w:t>proc. CAGR</w:t>
      </w:r>
      <w:r w:rsidR="00BC415F">
        <w:rPr>
          <w:rFonts w:asciiTheme="minorHAnsi" w:eastAsia="Arial" w:hAnsiTheme="minorHAnsi" w:cstheme="minorHAnsi"/>
          <w:sz w:val="20"/>
          <w:szCs w:val="20"/>
        </w:rPr>
        <w:t>,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 a wartość rynku w 2025 roku jest szacowana na poziomie 30,6 mld USD</w:t>
      </w:r>
      <w:r w:rsidR="00145140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Style w:val="Odwoanieprzypisudolnego"/>
          <w:rFonts w:asciiTheme="minorHAnsi" w:eastAsia="Arial" w:hAnsiTheme="minorHAnsi" w:cstheme="minorHAnsi"/>
          <w:sz w:val="20"/>
          <w:szCs w:val="20"/>
        </w:rPr>
        <w:footnoteReference w:id="1"/>
      </w:r>
    </w:p>
    <w:p w14:paraId="2C84F256" w14:textId="77777777" w:rsidR="009D3845" w:rsidRPr="00273AB8" w:rsidRDefault="009D3845" w:rsidP="009D3845">
      <w:pPr>
        <w:jc w:val="both"/>
        <w:rPr>
          <w:rFonts w:asciiTheme="minorHAnsi" w:eastAsia="Arial" w:hAnsiTheme="minorHAnsi" w:cstheme="minorHAnsi"/>
          <w:sz w:val="14"/>
          <w:szCs w:val="14"/>
        </w:rPr>
      </w:pPr>
    </w:p>
    <w:p w14:paraId="1F2F2BED" w14:textId="77431EFD" w:rsidR="009D3845" w:rsidRPr="009D3845" w:rsidRDefault="009D3845" w:rsidP="009D3845">
      <w:pPr>
        <w:jc w:val="both"/>
        <w:rPr>
          <w:rFonts w:asciiTheme="minorHAnsi" w:hAnsiTheme="minorHAnsi" w:cstheme="minorHAnsi"/>
          <w:sz w:val="20"/>
          <w:szCs w:val="20"/>
        </w:rPr>
      </w:pPr>
      <w:r w:rsidRPr="00D3787A">
        <w:rPr>
          <w:rFonts w:asciiTheme="minorHAnsi" w:hAnsiTheme="minorHAnsi" w:cstheme="minorHAnsi"/>
          <w:sz w:val="20"/>
          <w:szCs w:val="20"/>
        </w:rPr>
        <w:t>Nowym</w:t>
      </w:r>
      <w:r w:rsidR="00145140">
        <w:rPr>
          <w:rFonts w:asciiTheme="minorHAnsi" w:hAnsiTheme="minorHAnsi" w:cstheme="minorHAnsi"/>
          <w:sz w:val="20"/>
          <w:szCs w:val="20"/>
        </w:rPr>
        <w:t>,</w:t>
      </w:r>
      <w:r w:rsidRPr="00D3787A">
        <w:rPr>
          <w:rFonts w:asciiTheme="minorHAnsi" w:hAnsiTheme="minorHAnsi" w:cstheme="minorHAnsi"/>
          <w:sz w:val="20"/>
          <w:szCs w:val="20"/>
        </w:rPr>
        <w:t xml:space="preserve"> szybko rozwijającym się trendem, który pojawił się w 2020 roku i postawił przed producentami </w:t>
      </w:r>
      <w:r w:rsidR="00145140">
        <w:rPr>
          <w:rFonts w:asciiTheme="minorHAnsi" w:hAnsiTheme="minorHAnsi" w:cstheme="minorHAnsi"/>
          <w:sz w:val="20"/>
          <w:szCs w:val="20"/>
        </w:rPr>
        <w:t>kolejne</w:t>
      </w:r>
      <w:r w:rsidRPr="00D3787A">
        <w:rPr>
          <w:rFonts w:asciiTheme="minorHAnsi" w:hAnsiTheme="minorHAnsi" w:cstheme="minorHAnsi"/>
          <w:sz w:val="20"/>
          <w:szCs w:val="20"/>
        </w:rPr>
        <w:t xml:space="preserve"> wyzwania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3787A">
        <w:rPr>
          <w:rFonts w:asciiTheme="minorHAnsi" w:hAnsiTheme="minorHAnsi" w:cstheme="minorHAnsi"/>
          <w:sz w:val="20"/>
          <w:szCs w:val="20"/>
        </w:rPr>
        <w:t xml:space="preserve"> stał się lawinowy wzrost popytu na źródła światła i oprawy oświetleniowe UV-C. Pandemia COVID-19 wywołała bezprecedensowy wzrost zainteresowania zastosowa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D3787A">
        <w:rPr>
          <w:rFonts w:asciiTheme="minorHAnsi" w:hAnsiTheme="minorHAnsi" w:cstheme="minorHAnsi"/>
          <w:sz w:val="20"/>
          <w:szCs w:val="20"/>
        </w:rPr>
        <w:t>iem światła ultrafioletowego do dezynfekcji pomieszczeń. Grupa Kapitałowa LUG S.A. w rekordowym tempie opracowała i wdrożyła rodzinę opraw UV-C</w:t>
      </w:r>
      <w:r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>
        <w:rPr>
          <w:rFonts w:asciiTheme="minorHAnsi" w:eastAsia="Arial" w:hAnsiTheme="minorHAnsi" w:cstheme="minorHAnsi"/>
          <w:sz w:val="20"/>
          <w:szCs w:val="20"/>
        </w:rPr>
        <w:t>PurelightLUG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>”</w:t>
      </w:r>
      <w:r w:rsidRPr="00D3787A">
        <w:rPr>
          <w:rFonts w:asciiTheme="minorHAnsi" w:hAnsiTheme="minorHAnsi" w:cstheme="minorHAnsi"/>
          <w:sz w:val="20"/>
          <w:szCs w:val="20"/>
        </w:rPr>
        <w:t xml:space="preserve">, na którą składają się oprawy do dezynfekcji powierzchni, produkty dezynfekujące powietrze </w:t>
      </w:r>
      <w:r w:rsidR="002D67CE">
        <w:rPr>
          <w:rFonts w:asciiTheme="minorHAnsi" w:hAnsiTheme="minorHAnsi" w:cstheme="minorHAnsi"/>
          <w:sz w:val="20"/>
          <w:szCs w:val="20"/>
        </w:rPr>
        <w:br/>
      </w:r>
      <w:r w:rsidRPr="00D3787A">
        <w:rPr>
          <w:rFonts w:asciiTheme="minorHAnsi" w:hAnsiTheme="minorHAnsi" w:cstheme="minorHAnsi"/>
          <w:sz w:val="20"/>
          <w:szCs w:val="20"/>
        </w:rPr>
        <w:t>i mogące pracować w obecności ludzi, a także rozwiązania hybry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D3787A">
        <w:rPr>
          <w:rFonts w:asciiTheme="minorHAnsi" w:hAnsiTheme="minorHAnsi" w:cstheme="minorHAnsi"/>
          <w:sz w:val="20"/>
          <w:szCs w:val="20"/>
        </w:rPr>
        <w:t xml:space="preserve">owe. </w:t>
      </w:r>
      <w:r>
        <w:rPr>
          <w:rFonts w:asciiTheme="minorHAnsi" w:hAnsiTheme="minorHAnsi" w:cstheme="minorHAnsi"/>
          <w:sz w:val="20"/>
          <w:szCs w:val="20"/>
        </w:rPr>
        <w:t>LUG ma</w:t>
      </w:r>
      <w:r w:rsidR="00145140">
        <w:rPr>
          <w:rFonts w:asciiTheme="minorHAnsi" w:hAnsiTheme="minorHAnsi" w:cstheme="minorHAnsi"/>
          <w:sz w:val="20"/>
          <w:szCs w:val="20"/>
        </w:rPr>
        <w:t xml:space="preserve"> już</w:t>
      </w:r>
      <w:r>
        <w:rPr>
          <w:rFonts w:asciiTheme="minorHAnsi" w:hAnsiTheme="minorHAnsi" w:cstheme="minorHAnsi"/>
          <w:sz w:val="20"/>
          <w:szCs w:val="20"/>
        </w:rPr>
        <w:t> na swoim koncie realizacje oparte o nowy asortyment, w tym: szpital, restaurację, ośrodek pomocy, przedszkole i klinikę stomatologiczną</w:t>
      </w:r>
      <w:r w:rsidRPr="009D3845">
        <w:rPr>
          <w:rFonts w:asciiTheme="minorHAnsi" w:hAnsiTheme="minorHAnsi" w:cstheme="minorHAnsi"/>
          <w:sz w:val="20"/>
          <w:szCs w:val="20"/>
        </w:rPr>
        <w:t xml:space="preserve">. 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Szybka i profesjonalna odpowiedź LUG </w:t>
      </w:r>
      <w:proofErr w:type="spellStart"/>
      <w:r w:rsidRPr="009D3845">
        <w:rPr>
          <w:rFonts w:asciiTheme="minorHAnsi" w:eastAsiaTheme="minorEastAsia" w:hAnsiTheme="minorHAnsi" w:cstheme="minorHAnsi"/>
          <w:sz w:val="20"/>
          <w:szCs w:val="20"/>
        </w:rPr>
        <w:t>Light</w:t>
      </w:r>
      <w:proofErr w:type="spellEnd"/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9D3845">
        <w:rPr>
          <w:rFonts w:asciiTheme="minorHAnsi" w:eastAsiaTheme="minorEastAsia" w:hAnsiTheme="minorHAnsi" w:cstheme="minorHAnsi"/>
          <w:sz w:val="20"/>
          <w:szCs w:val="20"/>
        </w:rPr>
        <w:t>Factory</w:t>
      </w:r>
      <w:proofErr w:type="spellEnd"/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na pandemię </w:t>
      </w:r>
      <w:proofErr w:type="spellStart"/>
      <w:r w:rsidRPr="009D3845">
        <w:rPr>
          <w:rFonts w:asciiTheme="minorHAnsi" w:eastAsiaTheme="minorEastAsia" w:hAnsiTheme="minorHAnsi" w:cstheme="minorHAnsi"/>
          <w:sz w:val="20"/>
          <w:szCs w:val="20"/>
        </w:rPr>
        <w:t>koronawirusa</w:t>
      </w:r>
      <w:proofErr w:type="spellEnd"/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została 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>doceniona przez</w:t>
      </w:r>
      <w:r w:rsidR="00A075BD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>Światowe</w:t>
      </w:r>
      <w:r w:rsidR="00A075BD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>Forum Ekonomiczne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, które wymienia LUG 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>jako przykład firmy, któr</w:t>
      </w:r>
      <w:r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ma wysoką zdolność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adaptacji do</w:t>
      </w:r>
      <w:r w:rsidRPr="009D3845">
        <w:rPr>
          <w:rFonts w:asciiTheme="minorHAnsi" w:eastAsiaTheme="minorEastAsia" w:hAnsiTheme="minorHAnsi" w:cstheme="minorHAnsi"/>
          <w:sz w:val="20"/>
          <w:szCs w:val="20"/>
        </w:rPr>
        <w:t xml:space="preserve"> potrzeb rynkowych</w:t>
      </w:r>
      <w:r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3E13C4E5" w14:textId="25CBF3E5" w:rsidR="00B26A14" w:rsidRDefault="00B26A14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1C5867FE" w14:textId="069A3FE9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66928FCE" w14:textId="1FA3BA97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6739E3C8" w14:textId="32E460F3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7E681653" w14:textId="7A2D7C5D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6696916F" w14:textId="39564D21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3ED9C3DB" w14:textId="41696160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02C9821C" w14:textId="079124AC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66388C50" w14:textId="226BC1E1" w:rsidR="00273AB8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59B93ABF" w14:textId="77777777" w:rsidR="00273AB8" w:rsidRPr="00056C5A" w:rsidRDefault="00273AB8" w:rsidP="00056C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1B5DB586" w14:textId="77777777" w:rsidR="00A0186C" w:rsidRPr="00056C5A" w:rsidRDefault="00A0186C" w:rsidP="00056C5A">
      <w:pPr>
        <w:jc w:val="center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056C5A" w:rsidRDefault="00A0186C" w:rsidP="00056C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1BC91571" w:rsidR="00A0186C" w:rsidRPr="0081679B" w:rsidRDefault="00A0186C" w:rsidP="00056C5A">
      <w:pPr>
        <w:jc w:val="both"/>
        <w:rPr>
          <w:rFonts w:asciiTheme="minorHAnsi" w:hAnsiTheme="minorHAnsi" w:cstheme="minorHAnsi"/>
          <w:sz w:val="18"/>
          <w:szCs w:val="18"/>
        </w:rPr>
      </w:pPr>
      <w:r w:rsidRPr="0081679B">
        <w:rPr>
          <w:rFonts w:asciiTheme="minorHAnsi" w:hAnsiTheme="minorHAnsi" w:cstheme="minorHAnsi"/>
          <w:sz w:val="18"/>
          <w:szCs w:val="18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81679B">
        <w:rPr>
          <w:rFonts w:asciiTheme="minorHAnsi" w:hAnsiTheme="minorHAnsi" w:cstheme="minorHAnsi"/>
          <w:sz w:val="18"/>
          <w:szCs w:val="18"/>
        </w:rPr>
        <w:t xml:space="preserve">ponad </w:t>
      </w:r>
      <w:r w:rsidRPr="0081679B">
        <w:rPr>
          <w:rFonts w:asciiTheme="minorHAnsi" w:hAnsiTheme="minorHAnsi" w:cstheme="minorHAnsi"/>
          <w:sz w:val="18"/>
          <w:szCs w:val="18"/>
        </w:rPr>
        <w:t>30 lat doświadczenia firma z siedzibą w Zielonej Górze, od 2008 roku funkcjonuje jako Grupa Kapitałowa. W</w:t>
      </w:r>
      <w:r w:rsidR="00A075BD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 xml:space="preserve">jej skład wchodzą: LUG S.A., LUG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Light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Factory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Sp. z o.o., LUG GmbH, LUG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>do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Brasil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Ltda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, LUG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Lighting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UK Ltd., TOW LUG Ukraina, BIOT Sp. z o.o., LUG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Argentina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S.A.</w:t>
      </w:r>
      <w:r w:rsidR="002B3947" w:rsidRPr="0081679B">
        <w:rPr>
          <w:rFonts w:asciiTheme="minorHAnsi" w:hAnsiTheme="minorHAnsi" w:cstheme="minorHAnsi"/>
          <w:sz w:val="18"/>
          <w:szCs w:val="18"/>
        </w:rPr>
        <w:t xml:space="preserve">, </w:t>
      </w:r>
      <w:r w:rsidRPr="0081679B">
        <w:rPr>
          <w:rFonts w:asciiTheme="minorHAnsi" w:hAnsiTheme="minorHAnsi" w:cstheme="minorHAnsi"/>
          <w:sz w:val="18"/>
          <w:szCs w:val="18"/>
        </w:rPr>
        <w:t>LUG Turkey</w:t>
      </w:r>
      <w:r w:rsidR="009457B5" w:rsidRPr="0081679B">
        <w:rPr>
          <w:rFonts w:asciiTheme="minorHAnsi" w:hAnsiTheme="minorHAnsi" w:cstheme="minorHAnsi"/>
          <w:sz w:val="18"/>
          <w:szCs w:val="18"/>
        </w:rPr>
        <w:t>, LUG Services Sp. z o.o., ESCOLIGHT Sp. z o.o.</w:t>
      </w:r>
      <w:r w:rsidR="002B3947" w:rsidRPr="0081679B">
        <w:rPr>
          <w:rFonts w:asciiTheme="minorHAnsi" w:hAnsiTheme="minorHAnsi" w:cstheme="minorHAnsi"/>
          <w:sz w:val="18"/>
          <w:szCs w:val="18"/>
        </w:rPr>
        <w:t xml:space="preserve"> oraz LUG West </w:t>
      </w:r>
      <w:proofErr w:type="spellStart"/>
      <w:r w:rsidR="002B3947" w:rsidRPr="0081679B">
        <w:rPr>
          <w:rFonts w:asciiTheme="minorHAnsi" w:hAnsiTheme="minorHAnsi" w:cstheme="minorHAnsi"/>
          <w:sz w:val="18"/>
          <w:szCs w:val="18"/>
        </w:rPr>
        <w:t>Africa</w:t>
      </w:r>
      <w:proofErr w:type="spellEnd"/>
      <w:r w:rsidR="002B3947" w:rsidRPr="0081679B">
        <w:rPr>
          <w:rFonts w:asciiTheme="minorHAnsi" w:hAnsiTheme="minorHAnsi" w:cstheme="minorHAnsi"/>
          <w:sz w:val="18"/>
          <w:szCs w:val="18"/>
        </w:rPr>
        <w:t xml:space="preserve"> Ltd</w:t>
      </w:r>
      <w:r w:rsidRPr="0081679B">
        <w:rPr>
          <w:rFonts w:asciiTheme="minorHAnsi" w:hAnsiTheme="minorHAnsi" w:cstheme="minorHAnsi"/>
          <w:sz w:val="18"/>
          <w:szCs w:val="18"/>
        </w:rPr>
        <w:t>. LUG S.A. od listopada 2007 roku jest</w:t>
      </w:r>
      <w:r w:rsidR="009457B5" w:rsidRPr="0081679B">
        <w:rPr>
          <w:rFonts w:asciiTheme="minorHAnsi" w:hAnsiTheme="minorHAnsi" w:cstheme="minorHAnsi"/>
          <w:sz w:val="18"/>
          <w:szCs w:val="18"/>
        </w:rPr>
        <w:t> </w:t>
      </w:r>
      <w:r w:rsidRPr="0081679B">
        <w:rPr>
          <w:rFonts w:asciiTheme="minorHAnsi" w:hAnsiTheme="minorHAnsi" w:cstheme="minorHAnsi"/>
          <w:sz w:val="18"/>
          <w:szCs w:val="18"/>
        </w:rPr>
        <w:t xml:space="preserve">notowana na rynku </w:t>
      </w:r>
      <w:proofErr w:type="spellStart"/>
      <w:r w:rsidRPr="0081679B">
        <w:rPr>
          <w:rFonts w:asciiTheme="minorHAnsi" w:hAnsiTheme="minorHAnsi" w:cstheme="minorHAnsi"/>
          <w:sz w:val="18"/>
          <w:szCs w:val="18"/>
        </w:rPr>
        <w:t>NewConnect</w:t>
      </w:r>
      <w:proofErr w:type="spellEnd"/>
      <w:r w:rsidRPr="0081679B">
        <w:rPr>
          <w:rFonts w:asciiTheme="minorHAnsi" w:hAnsiTheme="minorHAnsi" w:cstheme="minorHAnsi"/>
          <w:sz w:val="18"/>
          <w:szCs w:val="18"/>
        </w:rPr>
        <w:t xml:space="preserve"> zarządzanym przez warszawską GPW. Więcej informacji: </w:t>
      </w:r>
      <w:hyperlink r:id="rId8" w:history="1">
        <w:r w:rsidRPr="0081679B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34CDC561" w14:textId="65EFCD00" w:rsidR="00C201A7" w:rsidRPr="0081679B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B985A08" w14:textId="77777777" w:rsidR="00C201A7" w:rsidRPr="00056C5A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6C5A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056C5A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056C5A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056C5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56C5A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056C5A">
        <w:rPr>
          <w:rFonts w:asciiTheme="minorHAnsi" w:hAnsiTheme="minorHAnsi" w:cstheme="minorHAnsi"/>
          <w:sz w:val="20"/>
          <w:szCs w:val="20"/>
        </w:rPr>
        <w:t xml:space="preserve">i, tel. </w:t>
      </w:r>
      <w:r w:rsidRPr="00056C5A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056C5A">
        <w:rPr>
          <w:rFonts w:asciiTheme="minorHAnsi" w:hAnsiTheme="minorHAnsi" w:cstheme="minorHAnsi"/>
          <w:sz w:val="20"/>
          <w:szCs w:val="20"/>
        </w:rPr>
        <w:t> </w:t>
      </w:r>
      <w:r w:rsidRPr="00056C5A">
        <w:rPr>
          <w:rFonts w:asciiTheme="minorHAnsi" w:hAnsiTheme="minorHAnsi" w:cstheme="minorHAnsi"/>
          <w:sz w:val="20"/>
          <w:szCs w:val="20"/>
        </w:rPr>
        <w:t>993</w:t>
      </w:r>
      <w:r w:rsidR="00C201A7" w:rsidRPr="00056C5A">
        <w:rPr>
          <w:rFonts w:asciiTheme="minorHAnsi" w:hAnsiTheme="minorHAnsi" w:cstheme="minorHAnsi"/>
          <w:sz w:val="20"/>
          <w:szCs w:val="20"/>
        </w:rPr>
        <w:t>, e-mail:</w:t>
      </w:r>
      <w:r w:rsidRPr="00056C5A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056C5A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056C5A" w:rsidRDefault="00C201A7" w:rsidP="008832A9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73AB8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273AB8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273AB8" w:rsidRPr="00273AB8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  <w:r w:rsidRPr="00273AB8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273AB8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273AB8">
        <w:rPr>
          <w:rFonts w:asciiTheme="minorHAnsi" w:hAnsiTheme="minorHAnsi" w:cstheme="minorHAnsi"/>
          <w:sz w:val="20"/>
          <w:szCs w:val="20"/>
        </w:rPr>
        <w:t xml:space="preserve">, tel. </w:t>
      </w:r>
      <w:r w:rsidRPr="00056C5A"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10" w:history="1">
        <w:r w:rsidRPr="00056C5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  <w:r w:rsidR="00D45343" w:rsidRPr="00056C5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056C5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5F49D95" w14:textId="77777777" w:rsidR="002A2736" w:rsidRPr="00056C5A" w:rsidRDefault="002A2736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2A2736" w:rsidRPr="00056C5A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56DF" w14:textId="77777777" w:rsidR="009E0A18" w:rsidRDefault="009E0A18">
      <w:r>
        <w:separator/>
      </w:r>
    </w:p>
  </w:endnote>
  <w:endnote w:type="continuationSeparator" w:id="0">
    <w:p w14:paraId="0A21E261" w14:textId="77777777" w:rsidR="009E0A18" w:rsidRDefault="009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D9E0" w14:textId="77777777" w:rsidR="009E0A18" w:rsidRDefault="009E0A18">
      <w:r>
        <w:separator/>
      </w:r>
    </w:p>
  </w:footnote>
  <w:footnote w:type="continuationSeparator" w:id="0">
    <w:p w14:paraId="6FB22424" w14:textId="77777777" w:rsidR="009E0A18" w:rsidRDefault="009E0A18">
      <w:r>
        <w:continuationSeparator/>
      </w:r>
    </w:p>
  </w:footnote>
  <w:footnote w:id="1">
    <w:p w14:paraId="6AD4CCB8" w14:textId="77777777" w:rsidR="009D3845" w:rsidRPr="00CF7071" w:rsidRDefault="009D3845" w:rsidP="009D384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F7071">
        <w:rPr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 xml:space="preserve">Investor Relation Presentation, </w:t>
      </w:r>
      <w:proofErr w:type="spellStart"/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Annula</w:t>
      </w:r>
      <w:proofErr w:type="spellEnd"/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 xml:space="preserve"> Report, Expert Interview and Markets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and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Markets Analysis".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3379D"/>
    <w:rsid w:val="00041B56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D23A8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4312"/>
    <w:rsid w:val="00214C2B"/>
    <w:rsid w:val="002164ED"/>
    <w:rsid w:val="00220A66"/>
    <w:rsid w:val="0024624B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C06E9"/>
    <w:rsid w:val="002C2136"/>
    <w:rsid w:val="002D4249"/>
    <w:rsid w:val="002D5E50"/>
    <w:rsid w:val="002D67CE"/>
    <w:rsid w:val="002D68B3"/>
    <w:rsid w:val="002D6FFB"/>
    <w:rsid w:val="002E46BF"/>
    <w:rsid w:val="002F6F45"/>
    <w:rsid w:val="00317439"/>
    <w:rsid w:val="00323A67"/>
    <w:rsid w:val="00332B11"/>
    <w:rsid w:val="00336495"/>
    <w:rsid w:val="00340B79"/>
    <w:rsid w:val="00343D7F"/>
    <w:rsid w:val="00346839"/>
    <w:rsid w:val="0035449F"/>
    <w:rsid w:val="0036587D"/>
    <w:rsid w:val="00375386"/>
    <w:rsid w:val="00384B23"/>
    <w:rsid w:val="00385BCA"/>
    <w:rsid w:val="003867A6"/>
    <w:rsid w:val="0039083E"/>
    <w:rsid w:val="003924EA"/>
    <w:rsid w:val="00394C24"/>
    <w:rsid w:val="00396023"/>
    <w:rsid w:val="003B575E"/>
    <w:rsid w:val="004010D6"/>
    <w:rsid w:val="00406C90"/>
    <w:rsid w:val="00420541"/>
    <w:rsid w:val="0043766E"/>
    <w:rsid w:val="00441DBD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3052"/>
    <w:rsid w:val="00531831"/>
    <w:rsid w:val="00544BF7"/>
    <w:rsid w:val="00553D0F"/>
    <w:rsid w:val="00553F98"/>
    <w:rsid w:val="00555941"/>
    <w:rsid w:val="00556C77"/>
    <w:rsid w:val="00566BBA"/>
    <w:rsid w:val="00570609"/>
    <w:rsid w:val="00574169"/>
    <w:rsid w:val="005754ED"/>
    <w:rsid w:val="00586E07"/>
    <w:rsid w:val="005926C6"/>
    <w:rsid w:val="005A3D71"/>
    <w:rsid w:val="005B1722"/>
    <w:rsid w:val="005C389E"/>
    <w:rsid w:val="005E7A6A"/>
    <w:rsid w:val="005F76FD"/>
    <w:rsid w:val="00600CF7"/>
    <w:rsid w:val="00603F87"/>
    <w:rsid w:val="00622426"/>
    <w:rsid w:val="006268D7"/>
    <w:rsid w:val="00642DB5"/>
    <w:rsid w:val="00653355"/>
    <w:rsid w:val="00655B2F"/>
    <w:rsid w:val="00657990"/>
    <w:rsid w:val="006628B0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619B"/>
    <w:rsid w:val="00711058"/>
    <w:rsid w:val="00732851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2D9D"/>
    <w:rsid w:val="007B1CD6"/>
    <w:rsid w:val="007B53F8"/>
    <w:rsid w:val="007C4322"/>
    <w:rsid w:val="007C43D9"/>
    <w:rsid w:val="007F0798"/>
    <w:rsid w:val="007F0BFC"/>
    <w:rsid w:val="007F0CFA"/>
    <w:rsid w:val="007F1608"/>
    <w:rsid w:val="007F2E15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903370"/>
    <w:rsid w:val="009127BF"/>
    <w:rsid w:val="00914DB9"/>
    <w:rsid w:val="00920FE2"/>
    <w:rsid w:val="0092679B"/>
    <w:rsid w:val="009315E1"/>
    <w:rsid w:val="00935C9B"/>
    <w:rsid w:val="009457B5"/>
    <w:rsid w:val="00955FB9"/>
    <w:rsid w:val="0097462B"/>
    <w:rsid w:val="009753E7"/>
    <w:rsid w:val="0099575A"/>
    <w:rsid w:val="009B4120"/>
    <w:rsid w:val="009B4A99"/>
    <w:rsid w:val="009C0E80"/>
    <w:rsid w:val="009C278E"/>
    <w:rsid w:val="009C4BEF"/>
    <w:rsid w:val="009D3845"/>
    <w:rsid w:val="009E0A18"/>
    <w:rsid w:val="009F3B14"/>
    <w:rsid w:val="009F5288"/>
    <w:rsid w:val="00A0186C"/>
    <w:rsid w:val="00A03E4E"/>
    <w:rsid w:val="00A04BDA"/>
    <w:rsid w:val="00A075BD"/>
    <w:rsid w:val="00A22730"/>
    <w:rsid w:val="00A2312C"/>
    <w:rsid w:val="00A3323B"/>
    <w:rsid w:val="00A363B5"/>
    <w:rsid w:val="00A83E2A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AB3"/>
    <w:rsid w:val="00B20FDC"/>
    <w:rsid w:val="00B26A14"/>
    <w:rsid w:val="00B30281"/>
    <w:rsid w:val="00B340D3"/>
    <w:rsid w:val="00B47D9A"/>
    <w:rsid w:val="00B77EA1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5A35"/>
    <w:rsid w:val="00C61C4A"/>
    <w:rsid w:val="00C6317B"/>
    <w:rsid w:val="00C65E50"/>
    <w:rsid w:val="00C73AF9"/>
    <w:rsid w:val="00C74955"/>
    <w:rsid w:val="00C74979"/>
    <w:rsid w:val="00C85070"/>
    <w:rsid w:val="00C971F1"/>
    <w:rsid w:val="00CB26B0"/>
    <w:rsid w:val="00CE0F3D"/>
    <w:rsid w:val="00CE6E37"/>
    <w:rsid w:val="00CF7071"/>
    <w:rsid w:val="00D06519"/>
    <w:rsid w:val="00D16C3B"/>
    <w:rsid w:val="00D226E8"/>
    <w:rsid w:val="00D26087"/>
    <w:rsid w:val="00D27185"/>
    <w:rsid w:val="00D3787A"/>
    <w:rsid w:val="00D444D8"/>
    <w:rsid w:val="00D45343"/>
    <w:rsid w:val="00D53F5D"/>
    <w:rsid w:val="00D54FE9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D0135"/>
    <w:rsid w:val="00EE3DB7"/>
    <w:rsid w:val="00EE677D"/>
    <w:rsid w:val="00F15206"/>
    <w:rsid w:val="00F15D7C"/>
    <w:rsid w:val="00F21B54"/>
    <w:rsid w:val="00F21EB2"/>
    <w:rsid w:val="00F35979"/>
    <w:rsid w:val="00F43E13"/>
    <w:rsid w:val="00F444DA"/>
    <w:rsid w:val="00F45096"/>
    <w:rsid w:val="00F50051"/>
    <w:rsid w:val="00F60E1E"/>
    <w:rsid w:val="00F6735E"/>
    <w:rsid w:val="00F82806"/>
    <w:rsid w:val="00F92D78"/>
    <w:rsid w:val="00F93AB1"/>
    <w:rsid w:val="00FC2538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11106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2</cp:revision>
  <cp:lastPrinted>2021-01-11T07:05:00Z</cp:lastPrinted>
  <dcterms:created xsi:type="dcterms:W3CDTF">2021-01-12T11:53:00Z</dcterms:created>
  <dcterms:modified xsi:type="dcterms:W3CDTF">2021-01-12T11:53:00Z</dcterms:modified>
</cp:coreProperties>
</file>